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D0AE2">
      <w:pPr>
        <w:spacing w:line="600" w:lineRule="exact"/>
        <w:jc w:val="center"/>
        <w:rPr>
          <w:rFonts w:hint="eastAsia" w:ascii="方正小标宋简体" w:hAnsi="宋体" w:eastAsia="方正小标宋简体"/>
          <w:color w:val="000000"/>
          <w:sz w:val="44"/>
          <w:szCs w:val="32"/>
        </w:rPr>
      </w:pPr>
      <w:r>
        <w:rPr>
          <w:rFonts w:hint="eastAsia" w:ascii="方正小标宋简体" w:hAnsi="宋体" w:eastAsia="方正小标宋简体"/>
          <w:color w:val="000000"/>
          <w:sz w:val="44"/>
          <w:szCs w:val="32"/>
        </w:rPr>
        <w:t>团体标准《阻镉富硒微量元素水溶肥料》</w:t>
      </w:r>
    </w:p>
    <w:p w14:paraId="67EFCAD8">
      <w:pPr>
        <w:spacing w:line="600" w:lineRule="exact"/>
        <w:jc w:val="center"/>
        <w:rPr>
          <w:rFonts w:ascii="方正小标宋简体" w:hAnsi="宋体" w:eastAsia="方正小标宋简体"/>
          <w:color w:val="000000"/>
          <w:sz w:val="44"/>
          <w:szCs w:val="32"/>
        </w:rPr>
      </w:pPr>
      <w:r>
        <w:rPr>
          <w:rFonts w:hint="eastAsia" w:ascii="方正小标宋简体" w:hAnsi="宋体" w:eastAsia="方正小标宋简体"/>
          <w:color w:val="000000"/>
          <w:sz w:val="44"/>
          <w:szCs w:val="32"/>
        </w:rPr>
        <w:t>（征求意见稿）编制说明</w:t>
      </w:r>
    </w:p>
    <w:p w14:paraId="7545AED6">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p>
    <w:p w14:paraId="0D5136F0">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一、项目来源</w:t>
      </w:r>
    </w:p>
    <w:p w14:paraId="3511DA7E">
      <w:pPr>
        <w:ind w:firstLine="640" w:firstLineChars="200"/>
        <w:rPr>
          <w:rFonts w:hint="eastAsia" w:ascii="仿宋_GB2312" w:hAnsi="宋体" w:eastAsia="仿宋_GB2312"/>
          <w:sz w:val="32"/>
          <w:szCs w:val="28"/>
        </w:rPr>
      </w:pPr>
      <w:r>
        <w:rPr>
          <w:rFonts w:hint="eastAsia" w:ascii="仿宋_GB2312" w:hAnsi="宋体" w:eastAsia="仿宋_GB2312"/>
          <w:sz w:val="32"/>
          <w:szCs w:val="28"/>
        </w:rPr>
        <w:t>根据《广西标准化协会关于下达2024年第十二批团体标准制修订项目计划的通知》（桂标协〔2024〕94号）文件精神，由广西壮族自治区农业科学院提出，南宁市博发科技有限公司、广西壮族自治区农业科学院、广西大学、宾阳县农业农村综合服务中心、贵港市港南区农业技术推广中心、广西稀之硒科技发展有限公司、广西田立方生物科技有限公司、广西金苗生态农业科技有限公司、广西宾阳硒谷农业科技有限公司共同起草的团体标准《阻镉富硒微量元素水溶肥料》（项目编号：202</w:t>
      </w:r>
      <w:r>
        <w:rPr>
          <w:rFonts w:ascii="仿宋_GB2312" w:hAnsi="宋体" w:eastAsia="仿宋_GB2312"/>
          <w:sz w:val="32"/>
          <w:szCs w:val="28"/>
        </w:rPr>
        <w:t>4</w:t>
      </w:r>
      <w:r>
        <w:rPr>
          <w:rFonts w:hint="eastAsia" w:ascii="仿宋_GB2312" w:hAnsi="宋体" w:eastAsia="仿宋_GB2312"/>
          <w:sz w:val="32"/>
          <w:szCs w:val="28"/>
        </w:rPr>
        <w:t>-1202）已获批立项。</w:t>
      </w:r>
    </w:p>
    <w:p w14:paraId="7FB55DF0">
      <w:pPr>
        <w:ind w:firstLine="640" w:firstLineChars="200"/>
        <w:rPr>
          <w:rFonts w:hint="eastAsia" w:ascii="仿宋_GB2312" w:hAnsi="宋体" w:eastAsia="仿宋_GB2312"/>
          <w:sz w:val="32"/>
          <w:szCs w:val="28"/>
        </w:rPr>
      </w:pPr>
      <w:r>
        <w:rPr>
          <w:rFonts w:hint="eastAsia" w:ascii="仿宋_GB2312" w:hAnsi="宋体" w:eastAsia="仿宋_GB2312"/>
          <w:sz w:val="32"/>
          <w:szCs w:val="28"/>
        </w:rPr>
        <w:t>为高质量编制团体标准《阻镉富硒微量元素水溶肥料》，由起草单位成立标准编制工作组并进行如下分工：</w:t>
      </w:r>
    </w:p>
    <w:tbl>
      <w:tblPr>
        <w:tblStyle w:val="7"/>
        <w:tblW w:w="8804" w:type="dxa"/>
        <w:jc w:val="center"/>
        <w:tblLayout w:type="fixed"/>
        <w:tblCellMar>
          <w:top w:w="0" w:type="dxa"/>
          <w:left w:w="108" w:type="dxa"/>
          <w:bottom w:w="0" w:type="dxa"/>
          <w:right w:w="108" w:type="dxa"/>
        </w:tblCellMar>
      </w:tblPr>
      <w:tblGrid>
        <w:gridCol w:w="1239"/>
        <w:gridCol w:w="1559"/>
        <w:gridCol w:w="1276"/>
        <w:gridCol w:w="1842"/>
        <w:gridCol w:w="2888"/>
      </w:tblGrid>
      <w:tr w14:paraId="7A6724D2">
        <w:tblPrEx>
          <w:tblCellMar>
            <w:top w:w="0" w:type="dxa"/>
            <w:left w:w="108" w:type="dxa"/>
            <w:bottom w:w="0" w:type="dxa"/>
            <w:right w:w="108" w:type="dxa"/>
          </w:tblCellMar>
        </w:tblPrEx>
        <w:trPr>
          <w:trHeight w:val="428" w:hRule="atLeast"/>
          <w:jc w:val="center"/>
        </w:trPr>
        <w:tc>
          <w:tcPr>
            <w:tcW w:w="1239" w:type="dxa"/>
            <w:tcBorders>
              <w:top w:val="single" w:color="auto" w:sz="4" w:space="0"/>
              <w:left w:val="single" w:color="auto" w:sz="4" w:space="0"/>
              <w:bottom w:val="single" w:color="auto" w:sz="4" w:space="0"/>
              <w:right w:val="single" w:color="auto" w:sz="4" w:space="0"/>
            </w:tcBorders>
            <w:vAlign w:val="center"/>
          </w:tcPr>
          <w:p w14:paraId="78057CD0">
            <w:pPr>
              <w:keepNext w:val="0"/>
              <w:keepLines w:val="0"/>
              <w:suppressLineNumbers w:val="0"/>
              <w:spacing w:before="0" w:beforeAutospacing="0" w:after="0" w:afterAutospacing="0" w:line="560" w:lineRule="exact"/>
              <w:ind w:left="0" w:right="0"/>
              <w:jc w:val="center"/>
              <w:rPr>
                <w:rFonts w:hint="eastAsia" w:ascii="仿宋_GB2312" w:hAnsi="仿宋_GB2312" w:eastAsia="仿宋_GB2312" w:cs="仿宋_GB2312"/>
                <w:bCs/>
                <w:sz w:val="24"/>
                <w:szCs w:val="21"/>
              </w:rPr>
            </w:pPr>
            <w:r>
              <w:rPr>
                <w:rFonts w:hint="eastAsia" w:ascii="仿宋_GB2312" w:hAnsi="仿宋_GB2312" w:eastAsia="仿宋_GB2312" w:cs="仿宋_GB2312"/>
                <w:bCs/>
                <w:sz w:val="24"/>
                <w:szCs w:val="21"/>
                <w:lang w:bidi="ar"/>
              </w:rPr>
              <w:t>姓  名</w:t>
            </w:r>
          </w:p>
        </w:tc>
        <w:tc>
          <w:tcPr>
            <w:tcW w:w="1559" w:type="dxa"/>
            <w:tcBorders>
              <w:top w:val="single" w:color="auto" w:sz="4" w:space="0"/>
              <w:left w:val="single" w:color="auto" w:sz="4" w:space="0"/>
              <w:bottom w:val="single" w:color="auto" w:sz="4" w:space="0"/>
              <w:right w:val="single" w:color="auto" w:sz="4" w:space="0"/>
            </w:tcBorders>
            <w:vAlign w:val="center"/>
          </w:tcPr>
          <w:p w14:paraId="41D2B3C7">
            <w:pPr>
              <w:keepNext w:val="0"/>
              <w:keepLines w:val="0"/>
              <w:suppressLineNumbers w:val="0"/>
              <w:spacing w:before="0" w:beforeAutospacing="0" w:after="0" w:afterAutospacing="0" w:line="560" w:lineRule="exact"/>
              <w:ind w:left="0" w:right="0"/>
              <w:jc w:val="center"/>
              <w:rPr>
                <w:rFonts w:hint="eastAsia" w:ascii="仿宋_GB2312" w:hAnsi="仿宋_GB2312" w:eastAsia="仿宋_GB2312" w:cs="仿宋_GB2312"/>
                <w:bCs/>
                <w:sz w:val="24"/>
                <w:szCs w:val="21"/>
              </w:rPr>
            </w:pPr>
            <w:r>
              <w:rPr>
                <w:rFonts w:hint="eastAsia" w:ascii="仿宋_GB2312" w:hAnsi="仿宋_GB2312" w:eastAsia="仿宋_GB2312" w:cs="仿宋_GB2312"/>
                <w:bCs/>
                <w:sz w:val="24"/>
                <w:szCs w:val="21"/>
                <w:lang w:bidi="ar"/>
              </w:rPr>
              <w:t>职称</w:t>
            </w:r>
          </w:p>
        </w:tc>
        <w:tc>
          <w:tcPr>
            <w:tcW w:w="1276" w:type="dxa"/>
            <w:tcBorders>
              <w:top w:val="single" w:color="auto" w:sz="4" w:space="0"/>
              <w:left w:val="single" w:color="auto" w:sz="4" w:space="0"/>
              <w:bottom w:val="single" w:color="auto" w:sz="4" w:space="0"/>
              <w:right w:val="single" w:color="auto" w:sz="4" w:space="0"/>
            </w:tcBorders>
            <w:vAlign w:val="center"/>
          </w:tcPr>
          <w:p w14:paraId="461FCF1A">
            <w:pPr>
              <w:keepNext w:val="0"/>
              <w:keepLines w:val="0"/>
              <w:suppressLineNumbers w:val="0"/>
              <w:spacing w:before="0" w:beforeAutospacing="0" w:after="0" w:afterAutospacing="0" w:line="560" w:lineRule="exact"/>
              <w:ind w:left="0" w:right="0"/>
              <w:jc w:val="center"/>
              <w:rPr>
                <w:rFonts w:hint="eastAsia" w:ascii="仿宋_GB2312" w:hAnsi="仿宋_GB2312" w:eastAsia="仿宋_GB2312" w:cs="仿宋_GB2312"/>
                <w:bCs/>
                <w:sz w:val="24"/>
                <w:szCs w:val="21"/>
              </w:rPr>
            </w:pPr>
            <w:r>
              <w:rPr>
                <w:rFonts w:hint="eastAsia" w:ascii="仿宋_GB2312" w:hAnsi="仿宋_GB2312" w:eastAsia="仿宋_GB2312" w:cs="仿宋_GB2312"/>
                <w:bCs/>
                <w:sz w:val="24"/>
                <w:szCs w:val="21"/>
                <w:lang w:bidi="ar"/>
              </w:rPr>
              <w:t>专业</w:t>
            </w:r>
          </w:p>
        </w:tc>
        <w:tc>
          <w:tcPr>
            <w:tcW w:w="1842" w:type="dxa"/>
            <w:tcBorders>
              <w:top w:val="single" w:color="auto" w:sz="4" w:space="0"/>
              <w:left w:val="single" w:color="auto" w:sz="4" w:space="0"/>
              <w:bottom w:val="single" w:color="auto" w:sz="4" w:space="0"/>
              <w:right w:val="single" w:color="auto" w:sz="4" w:space="0"/>
            </w:tcBorders>
            <w:vAlign w:val="center"/>
          </w:tcPr>
          <w:p w14:paraId="32DB5046">
            <w:pPr>
              <w:keepNext w:val="0"/>
              <w:keepLines w:val="0"/>
              <w:suppressLineNumbers w:val="0"/>
              <w:spacing w:before="0" w:beforeAutospacing="0" w:after="0" w:afterAutospacing="0"/>
              <w:ind w:left="0" w:right="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lang w:bidi="ar"/>
              </w:rPr>
              <w:t>工作单位</w:t>
            </w:r>
          </w:p>
        </w:tc>
        <w:tc>
          <w:tcPr>
            <w:tcW w:w="2888" w:type="dxa"/>
            <w:tcBorders>
              <w:top w:val="single" w:color="auto" w:sz="4" w:space="0"/>
              <w:left w:val="single" w:color="auto" w:sz="4" w:space="0"/>
              <w:bottom w:val="single" w:color="auto" w:sz="4" w:space="0"/>
              <w:right w:val="single" w:color="auto" w:sz="4" w:space="0"/>
            </w:tcBorders>
            <w:vAlign w:val="center"/>
          </w:tcPr>
          <w:p w14:paraId="10489FE0">
            <w:pPr>
              <w:keepNext w:val="0"/>
              <w:keepLines w:val="0"/>
              <w:suppressLineNumbers w:val="0"/>
              <w:spacing w:before="0" w:beforeAutospacing="0" w:after="0" w:afterAutospacing="0"/>
              <w:ind w:left="0" w:right="0"/>
              <w:jc w:val="center"/>
              <w:rPr>
                <w:rFonts w:hint="eastAsia" w:ascii="仿宋_GB2312" w:hAnsi="仿宋_GB2312" w:eastAsia="仿宋_GB2312" w:cs="仿宋_GB2312"/>
                <w:bCs/>
                <w:sz w:val="24"/>
                <w:szCs w:val="21"/>
              </w:rPr>
            </w:pPr>
            <w:r>
              <w:rPr>
                <w:rFonts w:hint="eastAsia" w:ascii="仿宋_GB2312" w:hAnsi="仿宋_GB2312" w:eastAsia="仿宋_GB2312" w:cs="仿宋_GB2312"/>
                <w:bCs/>
                <w:sz w:val="24"/>
                <w:szCs w:val="21"/>
                <w:lang w:bidi="ar"/>
              </w:rPr>
              <w:t>主要负责工作</w:t>
            </w:r>
          </w:p>
        </w:tc>
      </w:tr>
      <w:tr w14:paraId="4A9BA9CD">
        <w:tblPrEx>
          <w:tblCellMar>
            <w:top w:w="0" w:type="dxa"/>
            <w:left w:w="108" w:type="dxa"/>
            <w:bottom w:w="0" w:type="dxa"/>
            <w:right w:w="108" w:type="dxa"/>
          </w:tblCellMar>
        </w:tblPrEx>
        <w:trPr>
          <w:trHeight w:val="1068" w:hRule="atLeast"/>
          <w:jc w:val="center"/>
        </w:trPr>
        <w:tc>
          <w:tcPr>
            <w:tcW w:w="1239" w:type="dxa"/>
            <w:tcBorders>
              <w:top w:val="single" w:color="auto" w:sz="4" w:space="0"/>
              <w:left w:val="single" w:color="auto" w:sz="4" w:space="0"/>
              <w:bottom w:val="single" w:color="auto" w:sz="4" w:space="0"/>
              <w:right w:val="single" w:color="auto" w:sz="4" w:space="0"/>
            </w:tcBorders>
            <w:vAlign w:val="center"/>
          </w:tcPr>
          <w:p w14:paraId="57F12A41">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潘丽萍</w:t>
            </w:r>
          </w:p>
        </w:tc>
        <w:tc>
          <w:tcPr>
            <w:tcW w:w="1559" w:type="dxa"/>
            <w:tcBorders>
              <w:top w:val="single" w:color="auto" w:sz="4" w:space="0"/>
              <w:left w:val="single" w:color="auto" w:sz="4" w:space="0"/>
              <w:bottom w:val="single" w:color="auto" w:sz="4" w:space="0"/>
              <w:right w:val="single" w:color="auto" w:sz="4" w:space="0"/>
            </w:tcBorders>
            <w:vAlign w:val="center"/>
          </w:tcPr>
          <w:p w14:paraId="0B52E123">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副研究员</w:t>
            </w:r>
          </w:p>
        </w:tc>
        <w:tc>
          <w:tcPr>
            <w:tcW w:w="1276" w:type="dxa"/>
            <w:tcBorders>
              <w:top w:val="single" w:color="auto" w:sz="4" w:space="0"/>
              <w:left w:val="single" w:color="auto" w:sz="4" w:space="0"/>
              <w:bottom w:val="single" w:color="auto" w:sz="4" w:space="0"/>
              <w:right w:val="single" w:color="auto" w:sz="4" w:space="0"/>
            </w:tcBorders>
            <w:vAlign w:val="center"/>
          </w:tcPr>
          <w:p w14:paraId="530C5C0A">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土壤生态与高值农业</w:t>
            </w:r>
          </w:p>
        </w:tc>
        <w:tc>
          <w:tcPr>
            <w:tcW w:w="1842" w:type="dxa"/>
            <w:tcBorders>
              <w:top w:val="single" w:color="auto" w:sz="4" w:space="0"/>
              <w:left w:val="single" w:color="auto" w:sz="4" w:space="0"/>
              <w:bottom w:val="single" w:color="auto" w:sz="4" w:space="0"/>
              <w:right w:val="single" w:color="auto" w:sz="4" w:space="0"/>
            </w:tcBorders>
            <w:vAlign w:val="center"/>
          </w:tcPr>
          <w:p w14:paraId="7C63EC13">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广西壮族自治区农业科学研究院</w:t>
            </w:r>
          </w:p>
        </w:tc>
        <w:tc>
          <w:tcPr>
            <w:tcW w:w="2888" w:type="dxa"/>
            <w:tcBorders>
              <w:top w:val="single" w:color="auto" w:sz="4" w:space="0"/>
              <w:left w:val="single" w:color="auto" w:sz="4" w:space="0"/>
              <w:bottom w:val="single" w:color="auto" w:sz="4" w:space="0"/>
              <w:right w:val="single" w:color="auto" w:sz="4" w:space="0"/>
            </w:tcBorders>
            <w:vAlign w:val="center"/>
          </w:tcPr>
          <w:p w14:paraId="2EB04227">
            <w:pPr>
              <w:keepNext w:val="0"/>
              <w:keepLines w:val="0"/>
              <w:suppressLineNumbers w:val="0"/>
              <w:spacing w:before="0" w:beforeAutospacing="0" w:after="0" w:afterAutospacing="0"/>
              <w:ind w:left="0" w:right="0"/>
              <w:jc w:val="center"/>
              <w:rPr>
                <w:rFonts w:hint="eastAsia" w:ascii="仿宋_GB2312" w:hAnsi="仿宋_GB2312" w:eastAsia="仿宋_GB2312" w:cs="仿宋_GB2312"/>
                <w:bCs/>
                <w:sz w:val="24"/>
                <w:szCs w:val="21"/>
                <w:lang w:bidi="ar"/>
              </w:rPr>
            </w:pPr>
            <w:r>
              <w:rPr>
                <w:rFonts w:hint="eastAsia" w:ascii="仿宋_GB2312" w:hAnsi="仿宋_GB2312" w:eastAsia="仿宋_GB2312" w:cs="仿宋_GB2312"/>
                <w:bCs/>
                <w:sz w:val="24"/>
                <w:szCs w:val="21"/>
                <w:lang w:bidi="ar"/>
              </w:rPr>
              <w:t>统筹标准编制工作，组织人员进行标准发布后的宣贯培训。</w:t>
            </w:r>
          </w:p>
        </w:tc>
      </w:tr>
      <w:tr w14:paraId="3437F936">
        <w:tblPrEx>
          <w:tblCellMar>
            <w:top w:w="0" w:type="dxa"/>
            <w:left w:w="108" w:type="dxa"/>
            <w:bottom w:w="0" w:type="dxa"/>
            <w:right w:w="108" w:type="dxa"/>
          </w:tblCellMar>
        </w:tblPrEx>
        <w:trPr>
          <w:trHeight w:val="821" w:hRule="atLeast"/>
          <w:jc w:val="center"/>
        </w:trPr>
        <w:tc>
          <w:tcPr>
            <w:tcW w:w="1239" w:type="dxa"/>
            <w:tcBorders>
              <w:top w:val="single" w:color="auto" w:sz="4" w:space="0"/>
              <w:left w:val="single" w:color="auto" w:sz="4" w:space="0"/>
              <w:bottom w:val="single" w:color="auto" w:sz="4" w:space="0"/>
              <w:right w:val="single" w:color="auto" w:sz="4" w:space="0"/>
            </w:tcBorders>
            <w:vAlign w:val="center"/>
          </w:tcPr>
          <w:p w14:paraId="3AC91D55">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刘永贤</w:t>
            </w:r>
          </w:p>
        </w:tc>
        <w:tc>
          <w:tcPr>
            <w:tcW w:w="1559" w:type="dxa"/>
            <w:tcBorders>
              <w:top w:val="single" w:color="auto" w:sz="4" w:space="0"/>
              <w:left w:val="single" w:color="auto" w:sz="4" w:space="0"/>
              <w:bottom w:val="single" w:color="auto" w:sz="4" w:space="0"/>
              <w:right w:val="single" w:color="auto" w:sz="4" w:space="0"/>
            </w:tcBorders>
            <w:vAlign w:val="center"/>
          </w:tcPr>
          <w:p w14:paraId="1358E107">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副所长/研究员</w:t>
            </w:r>
          </w:p>
        </w:tc>
        <w:tc>
          <w:tcPr>
            <w:tcW w:w="1276" w:type="dxa"/>
            <w:tcBorders>
              <w:top w:val="single" w:color="auto" w:sz="4" w:space="0"/>
              <w:left w:val="single" w:color="auto" w:sz="4" w:space="0"/>
              <w:bottom w:val="single" w:color="auto" w:sz="4" w:space="0"/>
              <w:right w:val="single" w:color="auto" w:sz="4" w:space="0"/>
            </w:tcBorders>
            <w:vAlign w:val="center"/>
          </w:tcPr>
          <w:p w14:paraId="4BA7CA77">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土壤生态与高值农业</w:t>
            </w:r>
          </w:p>
        </w:tc>
        <w:tc>
          <w:tcPr>
            <w:tcW w:w="1842" w:type="dxa"/>
            <w:tcBorders>
              <w:top w:val="single" w:color="auto" w:sz="4" w:space="0"/>
              <w:left w:val="single" w:color="auto" w:sz="4" w:space="0"/>
              <w:bottom w:val="single" w:color="auto" w:sz="4" w:space="0"/>
              <w:right w:val="single" w:color="auto" w:sz="4" w:space="0"/>
            </w:tcBorders>
            <w:vAlign w:val="center"/>
          </w:tcPr>
          <w:p w14:paraId="37CF8644">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广西壮族自治区农业科学研究院</w:t>
            </w:r>
          </w:p>
        </w:tc>
        <w:tc>
          <w:tcPr>
            <w:tcW w:w="2888" w:type="dxa"/>
            <w:tcBorders>
              <w:top w:val="single" w:color="auto" w:sz="4" w:space="0"/>
              <w:left w:val="single" w:color="auto" w:sz="4" w:space="0"/>
              <w:bottom w:val="single" w:color="auto" w:sz="4" w:space="0"/>
              <w:right w:val="single" w:color="auto" w:sz="4" w:space="0"/>
            </w:tcBorders>
            <w:vAlign w:val="center"/>
          </w:tcPr>
          <w:p w14:paraId="5562FDEA">
            <w:pPr>
              <w:keepNext w:val="0"/>
              <w:keepLines w:val="0"/>
              <w:suppressLineNumbers w:val="0"/>
              <w:spacing w:before="0" w:beforeAutospacing="0" w:after="0" w:afterAutospacing="0"/>
              <w:ind w:left="0" w:right="0"/>
              <w:jc w:val="center"/>
              <w:rPr>
                <w:rFonts w:hint="eastAsia" w:ascii="仿宋_GB2312" w:hAnsi="仿宋_GB2312" w:eastAsia="仿宋_GB2312" w:cs="仿宋_GB2312"/>
                <w:bCs/>
                <w:sz w:val="24"/>
                <w:szCs w:val="21"/>
                <w:lang w:bidi="ar"/>
              </w:rPr>
            </w:pPr>
            <w:r>
              <w:rPr>
                <w:rFonts w:hint="eastAsia" w:ascii="仿宋_GB2312" w:hAnsi="仿宋_GB2312" w:eastAsia="仿宋_GB2312" w:cs="仿宋_GB2312"/>
                <w:bCs/>
                <w:sz w:val="24"/>
                <w:szCs w:val="21"/>
                <w:lang w:bidi="ar"/>
              </w:rPr>
              <w:t>指导标准文本及编制说明编写，质量控制。</w:t>
            </w:r>
          </w:p>
        </w:tc>
      </w:tr>
      <w:tr w14:paraId="5C339577">
        <w:tblPrEx>
          <w:tblCellMar>
            <w:top w:w="0" w:type="dxa"/>
            <w:left w:w="108" w:type="dxa"/>
            <w:bottom w:w="0" w:type="dxa"/>
            <w:right w:w="108" w:type="dxa"/>
          </w:tblCellMar>
        </w:tblPrEx>
        <w:trPr>
          <w:trHeight w:val="517" w:hRule="atLeast"/>
          <w:jc w:val="center"/>
        </w:trPr>
        <w:tc>
          <w:tcPr>
            <w:tcW w:w="1239" w:type="dxa"/>
            <w:tcBorders>
              <w:top w:val="single" w:color="auto" w:sz="4" w:space="0"/>
              <w:left w:val="single" w:color="auto" w:sz="4" w:space="0"/>
              <w:bottom w:val="single" w:color="auto" w:sz="4" w:space="0"/>
              <w:right w:val="single" w:color="auto" w:sz="4" w:space="0"/>
            </w:tcBorders>
            <w:vAlign w:val="center"/>
          </w:tcPr>
          <w:p w14:paraId="1D3A49EF">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邢颖</w:t>
            </w:r>
          </w:p>
        </w:tc>
        <w:tc>
          <w:tcPr>
            <w:tcW w:w="1559" w:type="dxa"/>
            <w:tcBorders>
              <w:top w:val="single" w:color="auto" w:sz="4" w:space="0"/>
              <w:left w:val="single" w:color="auto" w:sz="4" w:space="0"/>
              <w:bottom w:val="single" w:color="auto" w:sz="4" w:space="0"/>
              <w:right w:val="single" w:color="auto" w:sz="4" w:space="0"/>
            </w:tcBorders>
            <w:vAlign w:val="center"/>
          </w:tcPr>
          <w:p w14:paraId="0AA9B23C">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科室主任/副研究员</w:t>
            </w:r>
          </w:p>
        </w:tc>
        <w:tc>
          <w:tcPr>
            <w:tcW w:w="1276" w:type="dxa"/>
            <w:tcBorders>
              <w:top w:val="single" w:color="auto" w:sz="4" w:space="0"/>
              <w:left w:val="single" w:color="auto" w:sz="4" w:space="0"/>
              <w:bottom w:val="single" w:color="auto" w:sz="4" w:space="0"/>
              <w:right w:val="single" w:color="auto" w:sz="4" w:space="0"/>
            </w:tcBorders>
            <w:vAlign w:val="center"/>
          </w:tcPr>
          <w:p w14:paraId="3A7ECB1F">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土壤生态与高值农业</w:t>
            </w:r>
          </w:p>
        </w:tc>
        <w:tc>
          <w:tcPr>
            <w:tcW w:w="1842" w:type="dxa"/>
            <w:tcBorders>
              <w:top w:val="single" w:color="auto" w:sz="4" w:space="0"/>
              <w:left w:val="single" w:color="auto" w:sz="4" w:space="0"/>
              <w:bottom w:val="single" w:color="auto" w:sz="4" w:space="0"/>
              <w:right w:val="single" w:color="auto" w:sz="4" w:space="0"/>
            </w:tcBorders>
            <w:vAlign w:val="center"/>
          </w:tcPr>
          <w:p w14:paraId="473DB895">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广西壮族自治区农业科学研究院</w:t>
            </w:r>
          </w:p>
        </w:tc>
        <w:tc>
          <w:tcPr>
            <w:tcW w:w="2888" w:type="dxa"/>
            <w:tcBorders>
              <w:top w:val="single" w:color="auto" w:sz="4" w:space="0"/>
              <w:left w:val="single" w:color="auto" w:sz="4" w:space="0"/>
              <w:bottom w:val="single" w:color="auto" w:sz="4" w:space="0"/>
              <w:right w:val="single" w:color="auto" w:sz="4" w:space="0"/>
            </w:tcBorders>
          </w:tcPr>
          <w:p w14:paraId="0FB5B75C">
            <w:pPr>
              <w:keepNext w:val="0"/>
              <w:keepLines w:val="0"/>
              <w:suppressLineNumbers w:val="0"/>
              <w:spacing w:before="0" w:beforeAutospacing="0" w:after="0" w:afterAutospacing="0"/>
              <w:ind w:left="0" w:right="0"/>
              <w:jc w:val="center"/>
              <w:rPr>
                <w:rFonts w:hint="eastAsia" w:ascii="仿宋_GB2312" w:hAnsi="仿宋_GB2312" w:eastAsia="仿宋_GB2312" w:cs="仿宋_GB2312"/>
                <w:bCs/>
                <w:sz w:val="24"/>
                <w:szCs w:val="21"/>
                <w:lang w:bidi="ar"/>
              </w:rPr>
            </w:pPr>
            <w:r>
              <w:rPr>
                <w:rFonts w:hint="eastAsia" w:ascii="仿宋_GB2312" w:hAnsi="仿宋_GB2312" w:eastAsia="仿宋_GB2312" w:cs="仿宋_GB2312"/>
                <w:bCs/>
                <w:sz w:val="24"/>
                <w:szCs w:val="21"/>
                <w:lang w:bidi="ar"/>
              </w:rPr>
              <w:t>负责起草标准草案、征求意见稿和标准编制说明、送审稿及编制说明的编写工作；对标准实施情况进行总结分析，不断对地方标准提出修正意见。</w:t>
            </w:r>
          </w:p>
        </w:tc>
      </w:tr>
      <w:tr w14:paraId="309C167B">
        <w:tblPrEx>
          <w:tblCellMar>
            <w:top w:w="0" w:type="dxa"/>
            <w:left w:w="108" w:type="dxa"/>
            <w:bottom w:w="0" w:type="dxa"/>
            <w:right w:w="108" w:type="dxa"/>
          </w:tblCellMar>
        </w:tblPrEx>
        <w:trPr>
          <w:trHeight w:val="1273" w:hRule="atLeast"/>
          <w:jc w:val="center"/>
        </w:trPr>
        <w:tc>
          <w:tcPr>
            <w:tcW w:w="1239" w:type="dxa"/>
            <w:tcBorders>
              <w:top w:val="single" w:color="auto" w:sz="4" w:space="0"/>
              <w:left w:val="single" w:color="auto" w:sz="4" w:space="0"/>
              <w:bottom w:val="single" w:color="auto" w:sz="4" w:space="0"/>
              <w:right w:val="single" w:color="auto" w:sz="4" w:space="0"/>
            </w:tcBorders>
            <w:vAlign w:val="center"/>
          </w:tcPr>
          <w:p w14:paraId="7CC3885F">
            <w:pPr>
              <w:jc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lang w:val="en-US" w:eastAsia="zh-CN" w:bidi="ar"/>
              </w:rPr>
              <w:t>梁杰凯</w:t>
            </w:r>
          </w:p>
        </w:tc>
        <w:tc>
          <w:tcPr>
            <w:tcW w:w="1559" w:type="dxa"/>
            <w:tcBorders>
              <w:top w:val="single" w:color="auto" w:sz="4" w:space="0"/>
              <w:left w:val="single" w:color="auto" w:sz="4" w:space="0"/>
              <w:bottom w:val="single" w:color="auto" w:sz="4" w:space="0"/>
              <w:right w:val="single" w:color="auto" w:sz="4" w:space="0"/>
            </w:tcBorders>
            <w:vAlign w:val="center"/>
          </w:tcPr>
          <w:p w14:paraId="3013E537">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技术总助/博士研究生</w:t>
            </w:r>
          </w:p>
        </w:tc>
        <w:tc>
          <w:tcPr>
            <w:tcW w:w="1276" w:type="dxa"/>
            <w:tcBorders>
              <w:top w:val="single" w:color="auto" w:sz="4" w:space="0"/>
              <w:left w:val="single" w:color="auto" w:sz="4" w:space="0"/>
              <w:bottom w:val="single" w:color="auto" w:sz="4" w:space="0"/>
              <w:right w:val="single" w:color="auto" w:sz="4" w:space="0"/>
            </w:tcBorders>
            <w:vAlign w:val="center"/>
          </w:tcPr>
          <w:p w14:paraId="3EDDC128">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公共管理学专业</w:t>
            </w:r>
          </w:p>
        </w:tc>
        <w:tc>
          <w:tcPr>
            <w:tcW w:w="1842" w:type="dxa"/>
            <w:tcBorders>
              <w:top w:val="single" w:color="auto" w:sz="4" w:space="0"/>
              <w:left w:val="single" w:color="auto" w:sz="4" w:space="0"/>
              <w:bottom w:val="single" w:color="auto" w:sz="4" w:space="0"/>
              <w:right w:val="single" w:color="auto" w:sz="4" w:space="0"/>
            </w:tcBorders>
            <w:vAlign w:val="center"/>
          </w:tcPr>
          <w:p w14:paraId="17865854">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广西稀之硒科技有展有限公司</w:t>
            </w:r>
          </w:p>
        </w:tc>
        <w:tc>
          <w:tcPr>
            <w:tcW w:w="2888" w:type="dxa"/>
            <w:tcBorders>
              <w:top w:val="single" w:color="auto" w:sz="4" w:space="0"/>
              <w:left w:val="single" w:color="auto" w:sz="4" w:space="0"/>
              <w:bottom w:val="single" w:color="auto" w:sz="4" w:space="0"/>
              <w:right w:val="single" w:color="auto" w:sz="4" w:space="0"/>
            </w:tcBorders>
          </w:tcPr>
          <w:p w14:paraId="2A945747">
            <w:pPr>
              <w:keepNext w:val="0"/>
              <w:keepLines w:val="0"/>
              <w:suppressLineNumbers w:val="0"/>
              <w:spacing w:before="0" w:beforeAutospacing="0" w:after="0" w:afterAutospacing="0"/>
              <w:ind w:left="0" w:right="0"/>
              <w:jc w:val="center"/>
              <w:rPr>
                <w:rFonts w:hint="eastAsia" w:ascii="仿宋_GB2312" w:hAnsi="仿宋_GB2312" w:eastAsia="仿宋_GB2312" w:cs="仿宋_GB2312"/>
                <w:bCs/>
                <w:sz w:val="24"/>
                <w:szCs w:val="21"/>
                <w:lang w:bidi="ar"/>
              </w:rPr>
            </w:pPr>
            <w:r>
              <w:rPr>
                <w:rFonts w:hint="eastAsia" w:ascii="仿宋_GB2312" w:hAnsi="仿宋_GB2312" w:eastAsia="仿宋_GB2312" w:cs="仿宋_GB2312"/>
                <w:bCs/>
                <w:sz w:val="24"/>
                <w:szCs w:val="21"/>
                <w:lang w:bidi="ar"/>
              </w:rPr>
              <w:t>协助标准文本及编制说明的编写对标准实施情况进行总结分析，不断对地方标准提出修正意见。</w:t>
            </w:r>
          </w:p>
        </w:tc>
      </w:tr>
      <w:tr w14:paraId="2ADB89B5">
        <w:tblPrEx>
          <w:tblCellMar>
            <w:top w:w="0" w:type="dxa"/>
            <w:left w:w="108" w:type="dxa"/>
            <w:bottom w:w="0" w:type="dxa"/>
            <w:right w:w="108" w:type="dxa"/>
          </w:tblCellMar>
        </w:tblPrEx>
        <w:trPr>
          <w:trHeight w:val="517" w:hRule="atLeast"/>
          <w:jc w:val="center"/>
        </w:trPr>
        <w:tc>
          <w:tcPr>
            <w:tcW w:w="1239" w:type="dxa"/>
            <w:tcBorders>
              <w:top w:val="single" w:color="auto" w:sz="4" w:space="0"/>
              <w:left w:val="single" w:color="auto" w:sz="4" w:space="0"/>
              <w:bottom w:val="single" w:color="auto" w:sz="4" w:space="0"/>
              <w:right w:val="single" w:color="auto" w:sz="4" w:space="0"/>
            </w:tcBorders>
            <w:vAlign w:val="center"/>
          </w:tcPr>
          <w:p w14:paraId="4EC37224">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邓晓滨</w:t>
            </w:r>
          </w:p>
        </w:tc>
        <w:tc>
          <w:tcPr>
            <w:tcW w:w="1559" w:type="dxa"/>
            <w:tcBorders>
              <w:top w:val="single" w:color="auto" w:sz="4" w:space="0"/>
              <w:left w:val="single" w:color="auto" w:sz="4" w:space="0"/>
              <w:bottom w:val="single" w:color="auto" w:sz="4" w:space="0"/>
              <w:right w:val="single" w:color="auto" w:sz="4" w:space="0"/>
            </w:tcBorders>
            <w:vAlign w:val="center"/>
          </w:tcPr>
          <w:p w14:paraId="2BC6BE76">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总经理</w:t>
            </w:r>
          </w:p>
        </w:tc>
        <w:tc>
          <w:tcPr>
            <w:tcW w:w="1276" w:type="dxa"/>
            <w:tcBorders>
              <w:top w:val="single" w:color="auto" w:sz="4" w:space="0"/>
              <w:left w:val="single" w:color="auto" w:sz="4" w:space="0"/>
              <w:bottom w:val="single" w:color="auto" w:sz="4" w:space="0"/>
              <w:right w:val="single" w:color="auto" w:sz="4" w:space="0"/>
            </w:tcBorders>
            <w:vAlign w:val="center"/>
          </w:tcPr>
          <w:p w14:paraId="345FACA8">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农业种植、会计</w:t>
            </w:r>
          </w:p>
        </w:tc>
        <w:tc>
          <w:tcPr>
            <w:tcW w:w="1842" w:type="dxa"/>
            <w:tcBorders>
              <w:top w:val="single" w:color="auto" w:sz="4" w:space="0"/>
              <w:left w:val="single" w:color="auto" w:sz="4" w:space="0"/>
              <w:bottom w:val="single" w:color="auto" w:sz="4" w:space="0"/>
              <w:right w:val="single" w:color="auto" w:sz="4" w:space="0"/>
            </w:tcBorders>
            <w:vAlign w:val="center"/>
          </w:tcPr>
          <w:p w14:paraId="75991B6E">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广西稀之硒科技了展有限公司</w:t>
            </w:r>
          </w:p>
        </w:tc>
        <w:tc>
          <w:tcPr>
            <w:tcW w:w="2888" w:type="dxa"/>
            <w:tcBorders>
              <w:top w:val="single" w:color="auto" w:sz="4" w:space="0"/>
              <w:left w:val="single" w:color="auto" w:sz="4" w:space="0"/>
              <w:bottom w:val="single" w:color="auto" w:sz="4" w:space="0"/>
              <w:right w:val="single" w:color="auto" w:sz="4" w:space="0"/>
            </w:tcBorders>
          </w:tcPr>
          <w:p w14:paraId="39393AB4">
            <w:pPr>
              <w:keepNext w:val="0"/>
              <w:keepLines w:val="0"/>
              <w:suppressLineNumbers w:val="0"/>
              <w:spacing w:before="0" w:beforeAutospacing="0" w:after="0" w:afterAutospacing="0"/>
              <w:ind w:left="0" w:right="0"/>
              <w:jc w:val="center"/>
              <w:rPr>
                <w:rFonts w:hint="eastAsia" w:ascii="仿宋_GB2312" w:hAnsi="仿宋_GB2312" w:eastAsia="仿宋_GB2312" w:cs="仿宋_GB2312"/>
                <w:bCs/>
                <w:sz w:val="24"/>
                <w:szCs w:val="21"/>
                <w:lang w:bidi="ar"/>
              </w:rPr>
            </w:pPr>
            <w:r>
              <w:rPr>
                <w:rFonts w:hint="eastAsia" w:ascii="仿宋_GB2312" w:hAnsi="仿宋_GB2312" w:eastAsia="仿宋_GB2312" w:cs="仿宋_GB2312"/>
                <w:bCs/>
                <w:sz w:val="24"/>
                <w:szCs w:val="21"/>
                <w:lang w:bidi="ar"/>
              </w:rPr>
              <w:t>负责征求意见会、网上征求意见的汇总修改，组织人员前往区内其他单位和高校调研讨论；对标准实施情况进行总结分析，不断对地方标准提出修正意见。</w:t>
            </w:r>
          </w:p>
        </w:tc>
      </w:tr>
      <w:tr w14:paraId="64A8103B">
        <w:tblPrEx>
          <w:tblCellMar>
            <w:top w:w="0" w:type="dxa"/>
            <w:left w:w="108" w:type="dxa"/>
            <w:bottom w:w="0" w:type="dxa"/>
            <w:right w:w="108" w:type="dxa"/>
          </w:tblCellMar>
        </w:tblPrEx>
        <w:trPr>
          <w:trHeight w:val="517" w:hRule="atLeast"/>
          <w:jc w:val="center"/>
        </w:trPr>
        <w:tc>
          <w:tcPr>
            <w:tcW w:w="1239" w:type="dxa"/>
            <w:tcBorders>
              <w:top w:val="single" w:color="auto" w:sz="4" w:space="0"/>
              <w:left w:val="single" w:color="auto" w:sz="4" w:space="0"/>
              <w:bottom w:val="single" w:color="auto" w:sz="4" w:space="0"/>
              <w:right w:val="single" w:color="auto" w:sz="4" w:space="0"/>
            </w:tcBorders>
            <w:vAlign w:val="center"/>
          </w:tcPr>
          <w:p w14:paraId="12EE6332">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邓坤</w:t>
            </w:r>
          </w:p>
        </w:tc>
        <w:tc>
          <w:tcPr>
            <w:tcW w:w="1559" w:type="dxa"/>
            <w:tcBorders>
              <w:top w:val="single" w:color="auto" w:sz="4" w:space="0"/>
              <w:left w:val="single" w:color="auto" w:sz="4" w:space="0"/>
              <w:bottom w:val="single" w:color="auto" w:sz="4" w:space="0"/>
              <w:right w:val="single" w:color="auto" w:sz="4" w:space="0"/>
            </w:tcBorders>
            <w:vAlign w:val="center"/>
          </w:tcPr>
          <w:p w14:paraId="5AAAEFC2">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总经理</w:t>
            </w:r>
          </w:p>
        </w:tc>
        <w:tc>
          <w:tcPr>
            <w:tcW w:w="1276" w:type="dxa"/>
            <w:tcBorders>
              <w:top w:val="single" w:color="auto" w:sz="4" w:space="0"/>
              <w:left w:val="single" w:color="auto" w:sz="4" w:space="0"/>
              <w:bottom w:val="single" w:color="auto" w:sz="4" w:space="0"/>
              <w:right w:val="single" w:color="auto" w:sz="4" w:space="0"/>
            </w:tcBorders>
            <w:vAlign w:val="center"/>
          </w:tcPr>
          <w:p w14:paraId="18A46000">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工商企业管理</w:t>
            </w:r>
          </w:p>
        </w:tc>
        <w:tc>
          <w:tcPr>
            <w:tcW w:w="1842" w:type="dxa"/>
            <w:tcBorders>
              <w:top w:val="single" w:color="auto" w:sz="4" w:space="0"/>
              <w:left w:val="single" w:color="auto" w:sz="4" w:space="0"/>
              <w:bottom w:val="single" w:color="auto" w:sz="4" w:space="0"/>
              <w:right w:val="single" w:color="auto" w:sz="4" w:space="0"/>
            </w:tcBorders>
            <w:vAlign w:val="center"/>
          </w:tcPr>
          <w:p w14:paraId="54F42942">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南宁市博发科技有限公司</w:t>
            </w:r>
          </w:p>
        </w:tc>
        <w:tc>
          <w:tcPr>
            <w:tcW w:w="2888" w:type="dxa"/>
            <w:tcBorders>
              <w:top w:val="single" w:color="auto" w:sz="4" w:space="0"/>
              <w:left w:val="single" w:color="auto" w:sz="4" w:space="0"/>
              <w:bottom w:val="single" w:color="auto" w:sz="4" w:space="0"/>
              <w:right w:val="single" w:color="auto" w:sz="4" w:space="0"/>
            </w:tcBorders>
          </w:tcPr>
          <w:p w14:paraId="55C3ECCF">
            <w:pPr>
              <w:keepNext w:val="0"/>
              <w:keepLines w:val="0"/>
              <w:suppressLineNumbers w:val="0"/>
              <w:spacing w:before="0" w:beforeAutospacing="0" w:after="0" w:afterAutospacing="0"/>
              <w:ind w:left="0" w:right="0"/>
              <w:jc w:val="center"/>
              <w:rPr>
                <w:rFonts w:hint="eastAsia" w:ascii="仿宋_GB2312" w:hAnsi="仿宋_GB2312" w:eastAsia="仿宋_GB2312" w:cs="仿宋_GB2312"/>
                <w:bCs/>
                <w:sz w:val="24"/>
                <w:szCs w:val="21"/>
                <w:lang w:bidi="ar"/>
              </w:rPr>
            </w:pPr>
            <w:r>
              <w:rPr>
                <w:rFonts w:hint="eastAsia" w:ascii="仿宋_GB2312" w:hAnsi="仿宋_GB2312" w:eastAsia="仿宋_GB2312" w:cs="仿宋_GB2312"/>
                <w:bCs/>
                <w:sz w:val="24"/>
                <w:szCs w:val="21"/>
                <w:lang w:bidi="ar"/>
              </w:rPr>
              <w:t>协助标准文本及编制说明的编写；组织开展标准征求意见会；对标准实施情况进行总结分析，不断对地方标准提出修正意见。</w:t>
            </w:r>
          </w:p>
        </w:tc>
      </w:tr>
      <w:tr w14:paraId="335BE62D">
        <w:tblPrEx>
          <w:tblCellMar>
            <w:top w:w="0" w:type="dxa"/>
            <w:left w:w="108" w:type="dxa"/>
            <w:bottom w:w="0" w:type="dxa"/>
            <w:right w:w="108" w:type="dxa"/>
          </w:tblCellMar>
        </w:tblPrEx>
        <w:trPr>
          <w:trHeight w:val="1258" w:hRule="atLeast"/>
          <w:jc w:val="center"/>
        </w:trPr>
        <w:tc>
          <w:tcPr>
            <w:tcW w:w="1239" w:type="dxa"/>
            <w:tcBorders>
              <w:top w:val="single" w:color="auto" w:sz="4" w:space="0"/>
              <w:left w:val="single" w:color="auto" w:sz="4" w:space="0"/>
              <w:bottom w:val="single" w:color="auto" w:sz="4" w:space="0"/>
              <w:right w:val="single" w:color="auto" w:sz="4" w:space="0"/>
            </w:tcBorders>
            <w:vAlign w:val="center"/>
          </w:tcPr>
          <w:p w14:paraId="21173BC6">
            <w:pPr>
              <w:jc w:val="center"/>
              <w:rPr>
                <w:rFonts w:hint="eastAsia" w:ascii="仿宋_GB2312" w:hAnsi="仿宋_GB2312" w:eastAsia="仿宋_GB2312" w:cs="仿宋_GB2312"/>
                <w:sz w:val="24"/>
                <w:szCs w:val="24"/>
                <w:lang w:bidi="ar"/>
              </w:rPr>
            </w:pPr>
            <w:r>
              <w:rPr>
                <w:rFonts w:hint="eastAsia" w:ascii="仿宋_GB2312" w:hAnsi="仿宋_GB2312" w:eastAsia="仿宋_GB2312" w:cs="仿宋_GB2312"/>
                <w:sz w:val="24"/>
                <w:lang w:val="en-US" w:eastAsia="zh-CN" w:bidi="ar"/>
              </w:rPr>
              <w:t>潘珍妮</w:t>
            </w:r>
          </w:p>
        </w:tc>
        <w:tc>
          <w:tcPr>
            <w:tcW w:w="1559" w:type="dxa"/>
            <w:tcBorders>
              <w:top w:val="single" w:color="auto" w:sz="4" w:space="0"/>
              <w:left w:val="single" w:color="auto" w:sz="4" w:space="0"/>
              <w:bottom w:val="single" w:color="auto" w:sz="4" w:space="0"/>
              <w:right w:val="single" w:color="auto" w:sz="4" w:space="0"/>
            </w:tcBorders>
            <w:vAlign w:val="center"/>
          </w:tcPr>
          <w:p w14:paraId="53F51B8A">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技术总助</w:t>
            </w:r>
          </w:p>
        </w:tc>
        <w:tc>
          <w:tcPr>
            <w:tcW w:w="1276" w:type="dxa"/>
            <w:tcBorders>
              <w:top w:val="single" w:color="auto" w:sz="4" w:space="0"/>
              <w:left w:val="single" w:color="auto" w:sz="4" w:space="0"/>
              <w:bottom w:val="single" w:color="auto" w:sz="4" w:space="0"/>
              <w:right w:val="single" w:color="auto" w:sz="4" w:space="0"/>
            </w:tcBorders>
            <w:vAlign w:val="center"/>
          </w:tcPr>
          <w:p w14:paraId="030D31F8">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旅游管理</w:t>
            </w:r>
          </w:p>
        </w:tc>
        <w:tc>
          <w:tcPr>
            <w:tcW w:w="1842" w:type="dxa"/>
            <w:tcBorders>
              <w:top w:val="single" w:color="auto" w:sz="4" w:space="0"/>
              <w:left w:val="single" w:color="auto" w:sz="4" w:space="0"/>
              <w:bottom w:val="single" w:color="auto" w:sz="4" w:space="0"/>
              <w:right w:val="single" w:color="auto" w:sz="4" w:space="0"/>
            </w:tcBorders>
            <w:vAlign w:val="center"/>
          </w:tcPr>
          <w:p w14:paraId="49FDE398">
            <w:pPr>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lang w:val="en-US" w:eastAsia="zh-CN" w:bidi="ar"/>
              </w:rPr>
              <w:t>南宁市博发科技有限公司</w:t>
            </w:r>
          </w:p>
        </w:tc>
        <w:tc>
          <w:tcPr>
            <w:tcW w:w="2888" w:type="dxa"/>
            <w:tcBorders>
              <w:top w:val="single" w:color="auto" w:sz="4" w:space="0"/>
              <w:left w:val="single" w:color="auto" w:sz="4" w:space="0"/>
              <w:bottom w:val="single" w:color="auto" w:sz="4" w:space="0"/>
              <w:right w:val="single" w:color="auto" w:sz="4" w:space="0"/>
            </w:tcBorders>
          </w:tcPr>
          <w:p w14:paraId="4F112939">
            <w:pPr>
              <w:keepNext w:val="0"/>
              <w:keepLines w:val="0"/>
              <w:suppressLineNumbers w:val="0"/>
              <w:spacing w:before="0" w:beforeAutospacing="0" w:after="0" w:afterAutospacing="0"/>
              <w:ind w:left="0" w:right="0"/>
              <w:jc w:val="center"/>
              <w:rPr>
                <w:rFonts w:hint="eastAsia" w:ascii="仿宋_GB2312" w:hAnsi="仿宋_GB2312" w:eastAsia="仿宋_GB2312" w:cs="仿宋_GB2312"/>
                <w:szCs w:val="21"/>
              </w:rPr>
            </w:pPr>
            <w:r>
              <w:rPr>
                <w:rFonts w:hint="eastAsia" w:ascii="仿宋_GB2312" w:hAnsi="仿宋_GB2312" w:eastAsia="仿宋_GB2312" w:cs="仿宋_GB2312"/>
                <w:bCs/>
                <w:sz w:val="24"/>
                <w:szCs w:val="21"/>
                <w:lang w:bidi="ar"/>
              </w:rPr>
              <w:t>协助标准文本及编制说明的编写对标准实施情况进行总结分析，不断对地方标准提出修正意见。</w:t>
            </w:r>
          </w:p>
        </w:tc>
      </w:tr>
    </w:tbl>
    <w:p w14:paraId="6BE1CEB3">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bookmarkStart w:id="3" w:name="_GoBack"/>
      <w:bookmarkEnd w:id="3"/>
      <w:r>
        <w:rPr>
          <w:rFonts w:hint="eastAsia" w:ascii="黑体" w:hAnsi="黑体" w:eastAsia="黑体" w:cs="仿宋_GB2312"/>
          <w:sz w:val="32"/>
          <w:szCs w:val="32"/>
        </w:rPr>
        <w:t>二、项目背景及目的意义</w:t>
      </w:r>
    </w:p>
    <w:p w14:paraId="524160CE">
      <w:pPr>
        <w:autoSpaceDE w:val="0"/>
        <w:autoSpaceDN w:val="0"/>
        <w:adjustRightInd w:val="0"/>
        <w:spacing w:before="156" w:beforeLines="50" w:after="156" w:afterLines="50"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镉（Cd）具有毒性强、迁移性大、易被作物吸收富集的特点，是大米重金属污染的重要类型。土壤——作物系统中的镉污染已成为国内外环境污染研究的热点。广西耕地土壤环境质量类别Ⅱ稻田面积大，有60%面积属镉元素污染类型。广西当前推广的水稻品种在镉Ⅱ类稻田种植时，生产出的大米产品大部分表现为镉超标，导致每年稻米损失巨大。广西又是我国主要的水稻种植区，稻田耕作面积达1500万亩。经调查显示，当地土壤的镉含量背景值偏高，加之人为因素，相当面积的稻田土壤一种或几种重金属含量超过了农用地土壤污染风险筛选值，而且属于酸性土壤，生产的稻米重金属含量超标风险较大，导致大部分耕地不能生产出安全稻米，因此受重金属污染的耕地急需修复治理利用。</w:t>
      </w:r>
    </w:p>
    <w:p w14:paraId="0A4140F9">
      <w:pPr>
        <w:autoSpaceDE w:val="0"/>
        <w:autoSpaceDN w:val="0"/>
        <w:adjustRightInd w:val="0"/>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另一方面，在生态环境中，硒是一种非常重要的微量元素，缺硒是引起人体克山病和大骨节病的主要原因。近年来，微量元素硒的作用已引起了国内外的广泛关注，根据我国《硒与健康》数据库和营养研究结果显示，硒是人体健康和动物身体所需的14种微量元素中的一种，同时兼具营养、毒性和解毒三重功能，被称为生命保护剂。硒可通过植物免疫机制，如与重金属结合形成难溶性化合物，并通过生物抗氧化作用，提高植物对病虫害、环境污染物和各种生理逆境的抵抗力。此外，硒能保护水稻细胞膜，降低电解质外渗，增加植株脯氨酸和束缚水含量，提高束缚水和自由水在植株体内的比例，提高水稻的抗逆性。</w:t>
      </w:r>
    </w:p>
    <w:p w14:paraId="50C39573">
      <w:pPr>
        <w:autoSpaceDE w:val="0"/>
        <w:autoSpaceDN w:val="0"/>
        <w:adjustRightInd w:val="0"/>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粮食是国家之本，粮食安全是重中之重，优质富硒大米不仅能强身健体，增强人体抵抗力，更能提高粮食质量，提高产品的价值，增加种植户的收入。由于广西大部分土壤中含有或多或少的镉等重金属和硒元素，通过阻镉富硒微量元素水溶肥料料的试用，起到了较好的阻镉富硒效果，该产品市场需求量大，覆盖面积可达100万亩以上，每亩按300g，年需求量300吨以上，与普通的微量元素水溶肥料比，5万元/吨，年产300吨，增加1500万元，富硒产品如富硒大米，商品价值提高200-300%，给种植户带来巨大的经济效益。</w:t>
      </w:r>
    </w:p>
    <w:p w14:paraId="7A493052">
      <w:pPr>
        <w:autoSpaceDE w:val="0"/>
        <w:autoSpaceDN w:val="0"/>
        <w:adjustRightInd w:val="0"/>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通过制定团体标准《阻镉富硒微量元素水溶肥料》，以标准为抓手，统一规范阻镉、富硒的微量元素水溶肥料的要求，对提升阻镉富硒微量元素水溶肥料品质，降低水稻镉污染，提升稻谷质量，促进粮食增产提质，保障</w:t>
      </w:r>
      <w:r>
        <w:rPr>
          <w:rFonts w:ascii="仿宋_GB2312" w:hAnsi="宋体" w:eastAsia="仿宋_GB2312"/>
          <w:sz w:val="32"/>
          <w:szCs w:val="28"/>
        </w:rPr>
        <w:t>粮食</w:t>
      </w:r>
      <w:r>
        <w:rPr>
          <w:rFonts w:hint="eastAsia" w:ascii="仿宋_GB2312" w:hAnsi="宋体" w:eastAsia="仿宋_GB2312"/>
          <w:sz w:val="32"/>
          <w:szCs w:val="28"/>
        </w:rPr>
        <w:t>安全具有重要意义。</w:t>
      </w:r>
    </w:p>
    <w:p w14:paraId="64CFA7EF">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三、项目编制过程</w:t>
      </w:r>
    </w:p>
    <w:p w14:paraId="0D6A5644">
      <w:pPr>
        <w:spacing w:before="156" w:beforeLines="50" w:after="156" w:afterLines="50" w:line="560" w:lineRule="exact"/>
        <w:ind w:firstLine="643" w:firstLineChars="200"/>
        <w:rPr>
          <w:rFonts w:ascii="楷体" w:hAnsi="楷体" w:eastAsia="楷体"/>
          <w:sz w:val="32"/>
          <w:szCs w:val="28"/>
        </w:rPr>
      </w:pPr>
      <w:r>
        <w:rPr>
          <w:rFonts w:hint="eastAsia" w:ascii="楷体" w:hAnsi="楷体" w:eastAsia="楷体" w:cs="仿宋_GB2312"/>
          <w:b/>
          <w:sz w:val="32"/>
          <w:szCs w:val="28"/>
        </w:rPr>
        <w:t>（一）成立标准编制工作组</w:t>
      </w:r>
    </w:p>
    <w:p w14:paraId="437C2B65">
      <w:pPr>
        <w:ind w:firstLine="640" w:firstLineChars="200"/>
        <w:rPr>
          <w:rFonts w:ascii="仿宋_GB2312" w:hAnsi="宋体" w:eastAsia="仿宋_GB2312"/>
          <w:sz w:val="32"/>
          <w:szCs w:val="28"/>
        </w:rPr>
      </w:pPr>
      <w:r>
        <w:rPr>
          <w:rFonts w:hint="eastAsia" w:ascii="仿宋_GB2312" w:hAnsi="宋体" w:eastAsia="仿宋_GB2312"/>
          <w:sz w:val="32"/>
          <w:szCs w:val="28"/>
        </w:rPr>
        <w:t>团体标准《阻镉富硒微量元素水溶肥料》项目任务下达后，广西壮族自治区农业科学院、南宁市博发科技有限公司成立了标准编制工作组，起草单位制定了起草编写方案与进度安排，明确任务职责，确定工作技术路线，开展标准研制工作。具体标准编制工作由广西壮族自治区农业科学院、南宁市博发科技有限公司、广西壮族自治区农业科学院、广西大学、宾阳县农业农村综合服务中心、贵港市港南区农业技术推广中心、广西稀之硒科技发展有限公司、广西田立方生物科技有限公司、广西金苗生态农业科技有限公司、广西宾阳硒谷农业科技有限公司等单位负责人组成的标准编制工作组完成。</w:t>
      </w:r>
    </w:p>
    <w:p w14:paraId="0D99A07B">
      <w:pPr>
        <w:ind w:firstLine="640" w:firstLineChars="200"/>
        <w:rPr>
          <w:rFonts w:ascii="仿宋_GB2312" w:hAnsi="宋体" w:eastAsia="仿宋_GB2312"/>
          <w:sz w:val="32"/>
          <w:szCs w:val="28"/>
        </w:rPr>
      </w:pPr>
      <w:r>
        <w:rPr>
          <w:rFonts w:hint="eastAsia" w:ascii="仿宋_GB2312" w:hAnsi="宋体" w:eastAsia="仿宋_GB2312"/>
          <w:sz w:val="32"/>
          <w:szCs w:val="28"/>
        </w:rPr>
        <w:t>编制工作组下设三个组，分别是资料收集组、草案编写组、标准实施组。</w:t>
      </w:r>
    </w:p>
    <w:p w14:paraId="59AE398B">
      <w:pPr>
        <w:ind w:firstLine="640" w:firstLineChars="200"/>
        <w:rPr>
          <w:rFonts w:ascii="仿宋_GB2312" w:hAnsi="宋体" w:eastAsia="仿宋_GB2312"/>
          <w:sz w:val="32"/>
          <w:szCs w:val="28"/>
        </w:rPr>
      </w:pPr>
      <w:r>
        <w:rPr>
          <w:rFonts w:hint="eastAsia" w:ascii="仿宋_GB2312" w:hAnsi="宋体" w:eastAsia="仿宋_GB2312"/>
          <w:sz w:val="32"/>
          <w:szCs w:val="28"/>
        </w:rPr>
        <w:t>资料收集组负责国内外有关阻镉、富硒的微量元素水溶肥料的文献资料的查询、收集和整理工作，查阅前人对阻镉、富硒的微量元素水溶肥料的研究情况。</w:t>
      </w:r>
    </w:p>
    <w:p w14:paraId="0BE25F71">
      <w:pPr>
        <w:ind w:firstLine="640" w:firstLineChars="200"/>
        <w:rPr>
          <w:rFonts w:ascii="仿宋_GB2312" w:hAnsi="宋体" w:eastAsia="仿宋_GB2312"/>
          <w:sz w:val="32"/>
          <w:szCs w:val="28"/>
        </w:rPr>
      </w:pPr>
      <w:r>
        <w:rPr>
          <w:rFonts w:hint="eastAsia" w:ascii="仿宋_GB2312" w:hAnsi="宋体" w:eastAsia="仿宋_GB2312"/>
          <w:sz w:val="32"/>
          <w:szCs w:val="28"/>
        </w:rPr>
        <w:t>草案编写组负责起草标准草案、征求意见稿和标准编制说明、送审稿及编制说明的编写工作，包括后期召开征求意见会、网上征求意见，以及标准的不断修改和完善。</w:t>
      </w:r>
    </w:p>
    <w:p w14:paraId="067432A5">
      <w:pPr>
        <w:ind w:firstLine="640" w:firstLineChars="200"/>
        <w:rPr>
          <w:rFonts w:ascii="仿宋_GB2312" w:hAnsi="宋体" w:eastAsia="仿宋_GB2312"/>
          <w:sz w:val="32"/>
          <w:szCs w:val="28"/>
        </w:rPr>
      </w:pPr>
      <w:r>
        <w:rPr>
          <w:rFonts w:hint="eastAsia" w:ascii="仿宋_GB2312" w:hAnsi="宋体" w:eastAsia="仿宋_GB2312"/>
          <w:sz w:val="32"/>
          <w:szCs w:val="28"/>
        </w:rPr>
        <w:t>标准实施组负责团体标准《阻镉富硒微量元素水溶肥料》发布后，组织相关企事业单位开展标准宣贯培训会，对标准进行详细解读，让相关人员了解标准，并根据标准对阻镉、富硒的微量元素水溶肥料进行规范化操作，并对标准实施情况进行总结分析，不断对团体标准提出修正意见。</w:t>
      </w:r>
    </w:p>
    <w:p w14:paraId="32C78715">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（二）收集整理文献资料</w:t>
      </w:r>
    </w:p>
    <w:p w14:paraId="2B9611BD">
      <w:pPr>
        <w:ind w:firstLine="640" w:firstLineChars="200"/>
        <w:rPr>
          <w:rFonts w:ascii="仿宋_GB2312" w:hAnsi="宋体" w:eastAsia="仿宋_GB2312"/>
          <w:sz w:val="32"/>
          <w:szCs w:val="28"/>
          <w:lang w:val="fr-FR"/>
        </w:rPr>
      </w:pPr>
      <w:r>
        <w:rPr>
          <w:rFonts w:hint="eastAsia" w:ascii="仿宋_GB2312" w:hAnsi="宋体" w:eastAsia="仿宋_GB2312"/>
          <w:sz w:val="32"/>
          <w:szCs w:val="28"/>
        </w:rPr>
        <w:t>标准编制工作组收集了国内有关阻镉、富硒的微量元素水溶肥料相关文献资料。主要有</w:t>
      </w:r>
      <w:r>
        <w:rPr>
          <w:rFonts w:hint="eastAsia" w:ascii="仿宋_GB2312" w:hAnsi="宋体" w:eastAsia="仿宋_GB2312"/>
          <w:sz w:val="32"/>
          <w:szCs w:val="28"/>
          <w:lang w:val="fr-FR"/>
        </w:rPr>
        <w:t>：</w:t>
      </w:r>
    </w:p>
    <w:p w14:paraId="373342B9">
      <w:pPr>
        <w:spacing w:before="156" w:beforeLines="50" w:after="156" w:afterLines="50"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NY 1428-2010《微量元素水溶肥料》、DB61/T 508.3-2011《富硒双低油菜专用肥》、DB37/T 2618-2014《微量元素水溶肥料中硒含量的测定》、GB/T 23349-2020《肥料中砷、镉、铬、铅、汞含量的测定》、GB/T 39229-2020《肥料和土壤调理剂  砷、镉、铬、铅、汞含量的测定》、GB/T 39356-2020《肥料中总镍、总钴、总硒、总钒、总锑、总铊含量的测定  电感耦合等离子体发射光谱法》、NY/T 1972-2010《水溶肥料  钠、硒、硅含量的测定》、DB12/T 1024-2020《水溶肥料+汞、砷、镉、铅、铬的测定+电感耦合等离子体质谱法》等。</w:t>
      </w:r>
    </w:p>
    <w:p w14:paraId="44937C7D">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（三）研讨确定标准</w:t>
      </w:r>
      <w:r>
        <w:rPr>
          <w:rFonts w:hint="eastAsia" w:ascii="楷体" w:hAnsi="楷体" w:eastAsia="楷体" w:cs="仿宋_GB2312"/>
          <w:b/>
          <w:sz w:val="32"/>
          <w:szCs w:val="28"/>
          <w:lang w:eastAsia="zh-CN"/>
        </w:rPr>
        <w:t>特色、创新点及</w:t>
      </w:r>
      <w:r>
        <w:rPr>
          <w:rFonts w:hint="eastAsia" w:ascii="楷体" w:hAnsi="楷体" w:eastAsia="楷体" w:cs="仿宋_GB2312"/>
          <w:b/>
          <w:sz w:val="32"/>
          <w:szCs w:val="28"/>
        </w:rPr>
        <w:t>主体内容</w:t>
      </w:r>
    </w:p>
    <w:p w14:paraId="37B7F0CE">
      <w:pPr>
        <w:ind w:firstLine="640" w:firstLineChars="200"/>
        <w:rPr>
          <w:rFonts w:hint="default" w:ascii="仿宋_GB2312" w:hAnsi="宋体" w:eastAsia="仿宋_GB2312"/>
          <w:sz w:val="32"/>
          <w:szCs w:val="28"/>
          <w:lang w:val="en-US" w:eastAsia="zh-CN"/>
        </w:rPr>
      </w:pPr>
      <w:r>
        <w:rPr>
          <w:rFonts w:hint="eastAsia" w:ascii="仿宋_GB2312" w:hAnsi="宋体" w:eastAsia="仿宋_GB2312"/>
          <w:sz w:val="32"/>
          <w:szCs w:val="28"/>
          <w:lang w:val="en-US" w:eastAsia="zh-CN"/>
        </w:rPr>
        <w:t>1.标准特色、创新点</w:t>
      </w:r>
    </w:p>
    <w:p w14:paraId="445472BE">
      <w:pPr>
        <w:ind w:firstLine="640" w:firstLineChars="200"/>
        <w:rPr>
          <w:rFonts w:hint="eastAsia" w:ascii="仿宋_GB2312" w:hAnsi="宋体" w:eastAsia="仿宋_GB2312"/>
          <w:sz w:val="32"/>
          <w:szCs w:val="28"/>
        </w:rPr>
      </w:pPr>
      <w:r>
        <w:rPr>
          <w:rFonts w:hint="eastAsia" w:ascii="仿宋_GB2312" w:hAnsi="宋体" w:eastAsia="仿宋_GB2312"/>
          <w:sz w:val="32"/>
          <w:szCs w:val="28"/>
        </w:rPr>
        <w:t>该产品相对其他微量元素水溶肥料其功能性更强，产品主要从配方上调整，生产出功能性的肥料，生产的产品不仅具有微量元素水溶肥料的功能，如补充作物的微量元素，提高产量等，同时具有使农作物降镉增硒的效果，大大提高阻镉富硒微量元素水溶肥料的质量和价值。</w:t>
      </w:r>
    </w:p>
    <w:p w14:paraId="7AA701B3">
      <w:pPr>
        <w:ind w:firstLine="640" w:firstLineChars="200"/>
        <w:rPr>
          <w:rFonts w:hint="default" w:ascii="仿宋_GB2312" w:hAnsi="宋体" w:eastAsia="仿宋_GB2312"/>
          <w:sz w:val="32"/>
          <w:szCs w:val="28"/>
          <w:lang w:val="en-US" w:eastAsia="zh-CN"/>
        </w:rPr>
      </w:pPr>
      <w:r>
        <w:rPr>
          <w:rFonts w:hint="eastAsia" w:ascii="仿宋_GB2312" w:hAnsi="宋体" w:eastAsia="仿宋_GB2312"/>
          <w:sz w:val="32"/>
          <w:szCs w:val="28"/>
          <w:lang w:val="en-US" w:eastAsia="zh-CN"/>
        </w:rPr>
        <w:t>2.主体内容</w:t>
      </w:r>
    </w:p>
    <w:p w14:paraId="691B939C">
      <w:pPr>
        <w:ind w:firstLine="640" w:firstLineChars="200"/>
        <w:rPr>
          <w:rFonts w:ascii="仿宋_GB2312" w:hAnsi="宋体" w:eastAsia="仿宋_GB2312"/>
          <w:sz w:val="32"/>
          <w:szCs w:val="28"/>
        </w:rPr>
      </w:pPr>
      <w:r>
        <w:rPr>
          <w:rFonts w:hint="eastAsia" w:ascii="仿宋_GB2312" w:hAnsi="宋体" w:eastAsia="仿宋_GB2312"/>
          <w:sz w:val="32"/>
          <w:szCs w:val="28"/>
        </w:rPr>
        <w:t>标准编制工作组在对收集的资料进行整理研究之后，202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4</w:t>
      </w:r>
      <w:r>
        <w:rPr>
          <w:rFonts w:hint="eastAsia" w:ascii="仿宋_GB2312" w:hAnsi="宋体" w:eastAsia="仿宋_GB2312"/>
          <w:sz w:val="32"/>
          <w:szCs w:val="28"/>
        </w:rPr>
        <w:t>月，标准编制工作组召开了标准编制会议，对标准的整体框架结构进行了研究，并对标准的关键性内容进行了初步探讨。经过研究，标准的主体内容确定为技术要求、试验方法、检验规则、标识、使用说明书、包装、运输和贮存。</w:t>
      </w:r>
    </w:p>
    <w:p w14:paraId="61FABD75">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（四）调研及形成草案、征求意见稿</w:t>
      </w:r>
    </w:p>
    <w:p w14:paraId="6B432005">
      <w:pPr>
        <w:ind w:firstLine="640" w:firstLineChars="200"/>
        <w:rPr>
          <w:rFonts w:ascii="仿宋_GB2312" w:hAnsi="宋体" w:eastAsia="仿宋_GB2312"/>
          <w:sz w:val="32"/>
          <w:szCs w:val="28"/>
        </w:rPr>
      </w:pPr>
      <w:r>
        <w:rPr>
          <w:rFonts w:hint="eastAsia" w:ascii="仿宋_GB2312" w:hAnsi="宋体" w:eastAsia="仿宋_GB2312"/>
          <w:sz w:val="32"/>
          <w:szCs w:val="28"/>
        </w:rPr>
        <w:t>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4</w:t>
      </w:r>
      <w:r>
        <w:rPr>
          <w:rFonts w:hint="eastAsia" w:ascii="仿宋_GB2312" w:hAnsi="宋体" w:eastAsia="仿宋_GB2312"/>
          <w:sz w:val="32"/>
          <w:szCs w:val="28"/>
        </w:rPr>
        <w:t>月，标准起草工作小组进行了广泛调研工作，查阅了大量的国内外文献资料，对阻镉、富硒的微量元素水溶肥料的前人研究成果进行系统总结。形成了标准的基本构架，对主要内容进行了讨论并对项目的工作进行了部署和安排。</w:t>
      </w:r>
    </w:p>
    <w:p w14:paraId="09305CF3">
      <w:pPr>
        <w:ind w:firstLine="640" w:firstLineChars="200"/>
        <w:rPr>
          <w:rFonts w:ascii="仿宋_GB2312" w:hAnsi="宋体" w:eastAsia="仿宋_GB2312"/>
          <w:sz w:val="32"/>
          <w:szCs w:val="28"/>
        </w:rPr>
      </w:pPr>
      <w:r>
        <w:rPr>
          <w:rFonts w:hint="eastAsia" w:ascii="仿宋_GB2312" w:hAnsi="宋体" w:eastAsia="仿宋_GB2312"/>
          <w:sz w:val="32"/>
          <w:szCs w:val="28"/>
        </w:rPr>
        <w:t>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5</w:t>
      </w:r>
      <w:r>
        <w:rPr>
          <w:rFonts w:hint="eastAsia" w:ascii="仿宋_GB2312" w:hAnsi="宋体" w:eastAsia="仿宋_GB2312"/>
          <w:sz w:val="32"/>
          <w:szCs w:val="28"/>
        </w:rPr>
        <w:t>月，在前期工作的基础之上，通过理清逻辑脉络，整合已有的参考资料中有关阻镉、富硒的微量元素水溶肥料要求，并结合阻镉、富硒的微量元素水溶肥料实际要求的基础上，按照简化、统一等原则编制完成团体标准《阻镉富硒微量元素水溶肥料》（草案）。</w:t>
      </w:r>
    </w:p>
    <w:p w14:paraId="1F6A96F1">
      <w:pPr>
        <w:ind w:firstLine="640" w:firstLineChars="200"/>
        <w:rPr>
          <w:rFonts w:ascii="仿宋_GB2312" w:hAnsi="宋体" w:eastAsia="仿宋_GB2312"/>
          <w:sz w:val="32"/>
          <w:szCs w:val="28"/>
        </w:rPr>
      </w:pPr>
      <w:r>
        <w:rPr>
          <w:rFonts w:hint="eastAsia" w:ascii="仿宋_GB2312" w:hAnsi="宋体" w:eastAsia="仿宋_GB2312"/>
          <w:sz w:val="32"/>
          <w:szCs w:val="28"/>
        </w:rPr>
        <w:t>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6</w:t>
      </w:r>
      <w:r>
        <w:rPr>
          <w:rFonts w:hint="eastAsia" w:ascii="仿宋_GB2312" w:hAnsi="宋体" w:eastAsia="仿宋_GB2312"/>
          <w:sz w:val="32"/>
          <w:szCs w:val="28"/>
        </w:rPr>
        <w:t>月</w:t>
      </w:r>
      <w:r>
        <w:rPr>
          <w:rFonts w:hint="eastAsia" w:ascii="仿宋_GB2312" w:hAnsi="宋体" w:eastAsia="仿宋_GB2312"/>
          <w:sz w:val="32"/>
          <w:szCs w:val="28"/>
          <w:lang w:val="en-US" w:eastAsia="zh-CN"/>
        </w:rPr>
        <w:t>-2025年11月</w:t>
      </w:r>
      <w:r>
        <w:rPr>
          <w:rFonts w:hint="eastAsia" w:ascii="仿宋_GB2312" w:hAnsi="宋体" w:eastAsia="仿宋_GB2312"/>
          <w:sz w:val="32"/>
          <w:szCs w:val="28"/>
        </w:rPr>
        <w:t>，标准起草工作组到</w:t>
      </w:r>
      <w:r>
        <w:rPr>
          <w:rFonts w:ascii="仿宋_GB2312" w:hAnsi="宋体" w:eastAsia="仿宋_GB2312"/>
          <w:sz w:val="32"/>
          <w:szCs w:val="28"/>
        </w:rPr>
        <w:t>相关单位和科研机构进行调研，开展试验验证</w:t>
      </w:r>
      <w:r>
        <w:rPr>
          <w:rFonts w:hint="eastAsia" w:ascii="仿宋_GB2312" w:hAnsi="宋体" w:eastAsia="仿宋_GB2312"/>
          <w:sz w:val="32"/>
          <w:szCs w:val="28"/>
        </w:rPr>
        <w:t>。并实际征求意见，通过收集反馈了大量意见，标准编制工作组多次召开会议，对标准草案进行了反复修改和研究讨论。进一步讨论完善标准草案，形成团体标准《阻镉富硒微量元素水溶肥料》（征求意见稿）和（征求意见稿）编制说明。</w:t>
      </w:r>
    </w:p>
    <w:p w14:paraId="572D6C06">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bookmarkStart w:id="0" w:name="_Toc526940083"/>
      <w:r>
        <w:rPr>
          <w:rFonts w:hint="eastAsia" w:ascii="黑体" w:hAnsi="黑体" w:eastAsia="黑体" w:cs="仿宋_GB2312"/>
          <w:sz w:val="32"/>
          <w:szCs w:val="32"/>
        </w:rPr>
        <w:t>四、标准制定原则</w:t>
      </w:r>
      <w:bookmarkEnd w:id="0"/>
    </w:p>
    <w:p w14:paraId="0495FF2B">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（一）实用性原则</w:t>
      </w:r>
    </w:p>
    <w:p w14:paraId="096AD80F">
      <w:pPr>
        <w:ind w:firstLine="640" w:firstLineChars="200"/>
        <w:rPr>
          <w:rFonts w:ascii="仿宋_GB2312" w:hAnsi="宋体" w:eastAsia="仿宋_GB2312"/>
          <w:sz w:val="32"/>
          <w:szCs w:val="28"/>
        </w:rPr>
      </w:pPr>
      <w:r>
        <w:rPr>
          <w:rFonts w:hint="eastAsia" w:ascii="仿宋_GB2312" w:hAnsi="宋体" w:eastAsia="仿宋_GB2312"/>
          <w:sz w:val="32"/>
          <w:szCs w:val="28"/>
        </w:rPr>
        <w:t>本文件是在充分收集相关资料和文献，分析阻镉、富硒的微量元素水溶肥料当前现状，在现有相关阻镉、富硒的微量元素水溶肥料要求的基础上，结合编制单位</w:t>
      </w:r>
      <w:r>
        <w:rPr>
          <w:rFonts w:ascii="仿宋_GB2312" w:hAnsi="宋体" w:eastAsia="仿宋_GB2312"/>
          <w:sz w:val="32"/>
          <w:szCs w:val="28"/>
        </w:rPr>
        <w:t>多年</w:t>
      </w:r>
      <w:r>
        <w:rPr>
          <w:rFonts w:hint="eastAsia" w:ascii="仿宋_GB2312" w:hAnsi="宋体" w:eastAsia="仿宋_GB2312"/>
          <w:sz w:val="32"/>
          <w:szCs w:val="28"/>
        </w:rPr>
        <w:t>相关经验而总结起草的，符合当前阻镉、富硒的微量元素水溶肥料发展的方向，具有较强的实用性和可操作性。</w:t>
      </w:r>
    </w:p>
    <w:p w14:paraId="62EF7D35">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（二）协调性原则</w:t>
      </w:r>
    </w:p>
    <w:p w14:paraId="18A33837">
      <w:pPr>
        <w:ind w:firstLine="640" w:firstLineChars="200"/>
        <w:rPr>
          <w:rFonts w:ascii="仿宋_GB2312" w:hAnsi="宋体" w:eastAsia="仿宋_GB2312"/>
          <w:sz w:val="32"/>
          <w:szCs w:val="28"/>
        </w:rPr>
      </w:pPr>
      <w:r>
        <w:rPr>
          <w:rFonts w:hint="eastAsia" w:ascii="仿宋_GB2312" w:hAnsi="宋体" w:eastAsia="仿宋_GB2312"/>
          <w:sz w:val="32"/>
          <w:szCs w:val="28"/>
        </w:rPr>
        <w:t>本文件编写过程中注意了与阻镉、富硒的微量元素水溶肥料相关法律法规的协调问题，在内容上与现行法律法规、标准协调一致。</w:t>
      </w:r>
    </w:p>
    <w:p w14:paraId="48B06747">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（三）规范性原则</w:t>
      </w:r>
    </w:p>
    <w:p w14:paraId="3276EBB5">
      <w:pPr>
        <w:ind w:firstLine="640" w:firstLineChars="200"/>
        <w:rPr>
          <w:rFonts w:ascii="仿宋_GB2312" w:hAnsi="宋体" w:eastAsia="仿宋_GB2312"/>
          <w:sz w:val="32"/>
          <w:szCs w:val="28"/>
        </w:rPr>
      </w:pPr>
      <w:r>
        <w:rPr>
          <w:rFonts w:hint="eastAsia" w:ascii="仿宋_GB2312" w:hAnsi="宋体" w:eastAsia="仿宋_GB2312"/>
          <w:sz w:val="32"/>
          <w:szCs w:val="28"/>
        </w:rPr>
        <w:t>本文件严格参照GB/T 1.1—2020《标准化工作导则  第1部分：标准化文件的结构和起草规则》编写本标准的内容，保证标准的编写质量。</w:t>
      </w:r>
    </w:p>
    <w:p w14:paraId="173D3B39">
      <w:pPr>
        <w:spacing w:before="156" w:beforeLines="50" w:after="156" w:afterLines="50" w:line="560" w:lineRule="exact"/>
        <w:ind w:firstLine="643" w:firstLineChars="200"/>
        <w:rPr>
          <w:rFonts w:ascii="楷体" w:hAnsi="楷体" w:eastAsia="楷体" w:cs="仿宋_GB2312"/>
          <w:b/>
          <w:sz w:val="32"/>
          <w:szCs w:val="28"/>
        </w:rPr>
      </w:pPr>
      <w:r>
        <w:rPr>
          <w:rFonts w:hint="eastAsia" w:ascii="楷体" w:hAnsi="楷体" w:eastAsia="楷体" w:cs="仿宋_GB2312"/>
          <w:b/>
          <w:sz w:val="32"/>
          <w:szCs w:val="28"/>
        </w:rPr>
        <w:t>（四）前瞻性原则</w:t>
      </w:r>
    </w:p>
    <w:p w14:paraId="2315C397">
      <w:pPr>
        <w:ind w:firstLine="640" w:firstLineChars="200"/>
        <w:rPr>
          <w:rFonts w:ascii="仿宋_GB2312" w:hAnsi="宋体" w:eastAsia="仿宋_GB2312"/>
          <w:sz w:val="32"/>
          <w:szCs w:val="28"/>
        </w:rPr>
      </w:pPr>
      <w:r>
        <w:rPr>
          <w:rFonts w:hint="eastAsia" w:ascii="仿宋_GB2312" w:hAnsi="宋体" w:eastAsia="仿宋_GB2312"/>
          <w:sz w:val="32"/>
          <w:szCs w:val="28"/>
        </w:rPr>
        <w:t>本文件在兼顾当前区内阻镉、富硒的微量元素水溶肥料现实情况的同时，还考虑到了阻镉、富硒的微量元素水溶肥料快速发展的趋势和需要，在标准中体现了个别特色性、前瞻性和先进性条款，作为对阻镉、富硒的微量元素水溶肥料发展的指导。</w:t>
      </w:r>
    </w:p>
    <w:p w14:paraId="14FD2F15">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bookmarkStart w:id="1" w:name="_Toc526940084"/>
      <w:r>
        <w:rPr>
          <w:rFonts w:hint="eastAsia" w:ascii="黑体" w:hAnsi="黑体" w:eastAsia="黑体" w:cs="仿宋_GB2312"/>
          <w:sz w:val="32"/>
          <w:szCs w:val="32"/>
        </w:rPr>
        <w:t>五、标准主要内容及依据来源</w:t>
      </w:r>
      <w:bookmarkEnd w:id="1"/>
    </w:p>
    <w:p w14:paraId="34CACB3A">
      <w:pPr>
        <w:ind w:firstLine="640" w:firstLineChars="200"/>
        <w:rPr>
          <w:rFonts w:hint="eastAsia" w:ascii="仿宋_GB2312" w:hAnsi="宋体" w:eastAsia="仿宋_GB2312"/>
          <w:sz w:val="32"/>
          <w:szCs w:val="28"/>
        </w:rPr>
      </w:pPr>
      <w:r>
        <w:rPr>
          <w:rFonts w:hint="eastAsia" w:ascii="仿宋_GB2312" w:hAnsi="宋体" w:eastAsia="仿宋_GB2312"/>
          <w:sz w:val="32"/>
          <w:szCs w:val="28"/>
        </w:rPr>
        <w:t>目前，广西区内年生产、销售</w:t>
      </w:r>
      <w:r>
        <w:rPr>
          <w:rFonts w:hint="eastAsia" w:ascii="仿宋_GB2312" w:hAnsi="宋体" w:eastAsia="仿宋_GB2312"/>
          <w:sz w:val="32"/>
          <w:szCs w:val="32"/>
          <w:lang w:val="zh-CN"/>
        </w:rPr>
        <w:t>阻镉富硒微量元素水溶肥料</w:t>
      </w:r>
      <w:r>
        <w:rPr>
          <w:rFonts w:hint="eastAsia" w:ascii="仿宋_GB2312" w:hAnsi="宋体" w:eastAsia="仿宋_GB2312"/>
          <w:sz w:val="32"/>
          <w:szCs w:val="28"/>
        </w:rPr>
        <w:t>的企业有10家，编制单位所占生产销售比例达到90%以上，产品在外省市场也有非常大的需求。在相关科研单位的协助下，编制单位生产的肥料产品在酸碱度控制和中元素增加（硅+硒≥3g/L）上得到了技术突破，生产的肥料产品从2020年开始进入市场试验，经在上林、宾阳等地试验和宾阳大面积应用，效果好，产量也有提高。该产品相对其他微量元素水溶肥料其功能性更强，产品主要从配方上调整，生产出功能性的肥料，生产的产品不仅具有微量元素水溶肥料的功能，如补充作物的微量元素，提高产量等，同时具有使农作物降镉增硒的效果，大大提高</w:t>
      </w:r>
      <w:r>
        <w:rPr>
          <w:rFonts w:hint="eastAsia" w:ascii="仿宋_GB2312" w:hAnsi="宋体" w:eastAsia="仿宋_GB2312"/>
          <w:sz w:val="32"/>
          <w:szCs w:val="32"/>
          <w:lang w:val="zh-CN"/>
        </w:rPr>
        <w:t>阻镉富硒微量元素水溶肥料</w:t>
      </w:r>
      <w:r>
        <w:rPr>
          <w:rFonts w:hint="eastAsia" w:ascii="仿宋_GB2312" w:hAnsi="宋体" w:eastAsia="仿宋_GB2312"/>
          <w:sz w:val="32"/>
          <w:szCs w:val="28"/>
        </w:rPr>
        <w:t>的质量和价值。本</w:t>
      </w:r>
      <w:r>
        <w:rPr>
          <w:rFonts w:ascii="仿宋_GB2312" w:hAnsi="宋体" w:eastAsia="仿宋_GB2312"/>
          <w:sz w:val="32"/>
          <w:szCs w:val="28"/>
        </w:rPr>
        <w:t>标准的内容是基于上述大量研究、生产实践经验的总结，具有先进性</w:t>
      </w:r>
      <w:r>
        <w:rPr>
          <w:rFonts w:hint="eastAsia" w:ascii="仿宋_GB2312" w:hAnsi="宋体" w:eastAsia="仿宋_GB2312"/>
          <w:sz w:val="32"/>
          <w:szCs w:val="28"/>
        </w:rPr>
        <w:t>、实用性和可操作性，</w:t>
      </w:r>
      <w:r>
        <w:rPr>
          <w:rFonts w:ascii="仿宋_GB2312" w:hAnsi="宋体" w:eastAsia="仿宋_GB2312"/>
          <w:sz w:val="32"/>
          <w:szCs w:val="28"/>
        </w:rPr>
        <w:t>值得</w:t>
      </w:r>
      <w:r>
        <w:rPr>
          <w:rFonts w:hint="eastAsia" w:ascii="仿宋_GB2312" w:hAnsi="宋体" w:eastAsia="仿宋_GB2312"/>
          <w:sz w:val="32"/>
          <w:szCs w:val="28"/>
        </w:rPr>
        <w:t>向</w:t>
      </w:r>
      <w:r>
        <w:rPr>
          <w:rFonts w:ascii="仿宋_GB2312" w:hAnsi="宋体" w:eastAsia="仿宋_GB2312"/>
          <w:sz w:val="32"/>
          <w:szCs w:val="28"/>
        </w:rPr>
        <w:t>全区乃至全国推广使用。</w:t>
      </w:r>
    </w:p>
    <w:p w14:paraId="5003E715">
      <w:pPr>
        <w:ind w:firstLine="640" w:firstLineChars="200"/>
        <w:rPr>
          <w:rFonts w:ascii="仿宋_GB2312" w:hAnsi="宋体" w:eastAsia="仿宋_GB2312"/>
          <w:sz w:val="32"/>
          <w:szCs w:val="32"/>
          <w:lang w:val="zh-CN"/>
        </w:rPr>
      </w:pPr>
      <w:r>
        <w:rPr>
          <w:rFonts w:hint="eastAsia" w:ascii="仿宋_GB2312" w:hAnsi="宋体" w:eastAsia="仿宋_GB2312"/>
          <w:sz w:val="32"/>
          <w:szCs w:val="32"/>
          <w:lang w:val="zh-CN"/>
        </w:rPr>
        <w:t>团体标准《阻镉富硒微量元素水溶肥料》的主要章节内容包括：</w:t>
      </w:r>
      <w:r>
        <w:rPr>
          <w:rFonts w:hint="eastAsia" w:ascii="仿宋_GB2312" w:hAnsi="宋体" w:eastAsia="仿宋_GB2312"/>
          <w:sz w:val="32"/>
          <w:szCs w:val="28"/>
          <w:highlight w:val="none"/>
        </w:rPr>
        <w:t>技术要求、试验方法、检验规则、标识、使用说明书、包装、运输和贮存</w:t>
      </w:r>
      <w:r>
        <w:rPr>
          <w:rFonts w:hint="eastAsia" w:ascii="仿宋_GB2312" w:hAnsi="宋体" w:eastAsia="仿宋_GB2312"/>
          <w:sz w:val="32"/>
          <w:szCs w:val="32"/>
          <w:lang w:val="zh-CN"/>
        </w:rPr>
        <w:t>。本文件主要内容及依据来源说明如下：</w:t>
      </w:r>
    </w:p>
    <w:p w14:paraId="40C50225">
      <w:pPr>
        <w:pStyle w:val="30"/>
        <w:numPr>
          <w:ilvl w:val="0"/>
          <w:numId w:val="9"/>
        </w:numPr>
        <w:autoSpaceDE w:val="0"/>
        <w:autoSpaceDN w:val="0"/>
        <w:adjustRightInd w:val="0"/>
        <w:spacing w:before="156" w:beforeLines="50" w:after="156" w:afterLines="50" w:line="560" w:lineRule="exact"/>
        <w:ind w:firstLineChars="0"/>
        <w:jc w:val="left"/>
        <w:rPr>
          <w:rFonts w:ascii="仿宋_GB2312" w:hAnsi="宋体" w:eastAsia="仿宋_GB2312"/>
          <w:b/>
          <w:sz w:val="32"/>
          <w:szCs w:val="32"/>
          <w:lang w:val="zh-CN"/>
        </w:rPr>
      </w:pPr>
      <w:r>
        <w:rPr>
          <w:rFonts w:hint="eastAsia" w:ascii="仿宋_GB2312" w:hAnsi="宋体" w:eastAsia="仿宋_GB2312"/>
          <w:b/>
          <w:sz w:val="32"/>
          <w:szCs w:val="32"/>
          <w:lang w:val="zh-CN"/>
        </w:rPr>
        <w:t>技术要求</w:t>
      </w:r>
    </w:p>
    <w:p w14:paraId="60F02666">
      <w:pPr>
        <w:ind w:firstLine="643" w:firstLineChars="200"/>
        <w:rPr>
          <w:rFonts w:ascii="仿宋_GB2312" w:hAnsi="宋体" w:eastAsia="仿宋_GB2312"/>
          <w:sz w:val="32"/>
          <w:szCs w:val="32"/>
          <w:lang w:val="zh-CN"/>
        </w:rPr>
      </w:pPr>
      <w:r>
        <w:rPr>
          <w:rFonts w:hint="eastAsia" w:ascii="仿宋_GB2312" w:hAnsi="宋体" w:eastAsia="仿宋_GB2312" w:cs="Times New Roman"/>
          <w:b/>
          <w:sz w:val="32"/>
          <w:szCs w:val="32"/>
        </w:rPr>
        <w:t>外观:</w:t>
      </w:r>
      <w:r>
        <w:rPr>
          <w:rFonts w:hint="eastAsia" w:ascii="仿宋_GB2312" w:hAnsi="宋体" w:eastAsia="仿宋_GB2312" w:cs="Times New Roman"/>
          <w:sz w:val="32"/>
          <w:szCs w:val="32"/>
        </w:rPr>
        <w:t>外观与普通</w:t>
      </w:r>
      <w:r>
        <w:rPr>
          <w:rFonts w:hint="eastAsia" w:ascii="仿宋_GB2312" w:hAnsi="宋体" w:eastAsia="仿宋_GB2312" w:cs="Times New Roman"/>
          <w:sz w:val="32"/>
          <w:szCs w:val="32"/>
          <w:lang w:val="en-US" w:eastAsia="zh-CN"/>
        </w:rPr>
        <w:t>水溶</w:t>
      </w:r>
      <w:r>
        <w:rPr>
          <w:rFonts w:hint="eastAsia" w:ascii="仿宋_GB2312" w:hAnsi="宋体" w:eastAsia="仿宋_GB2312" w:cs="Times New Roman"/>
          <w:sz w:val="32"/>
          <w:szCs w:val="32"/>
        </w:rPr>
        <w:t>肥料相比无明显变化，主要依据广西稀之硒科技发展有限公司、广西田立方生物科技有限公司、广西金苗生态农业科技有限公司、广西宾阳硒谷农业科技有限公司</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家企业产品外观</w:t>
      </w:r>
      <w:r>
        <w:rPr>
          <w:rFonts w:hint="eastAsia" w:ascii="仿宋_GB2312" w:hAnsi="宋体" w:eastAsia="仿宋_GB2312" w:cs="Times New Roman"/>
          <w:color w:val="000000"/>
          <w:sz w:val="32"/>
          <w:szCs w:val="32"/>
        </w:rPr>
        <w:t>和《NY</w:t>
      </w:r>
      <w:r>
        <w:rPr>
          <w:rFonts w:hint="eastAsia" w:ascii="仿宋_GB2312" w:hAnsi="宋体" w:eastAsia="仿宋_GB2312" w:cs="Times New Roman"/>
          <w:color w:val="000000"/>
          <w:sz w:val="32"/>
          <w:szCs w:val="32"/>
          <w:lang w:val="en-US" w:eastAsia="zh-CN"/>
        </w:rPr>
        <w:t>/</w:t>
      </w:r>
      <w:r>
        <w:rPr>
          <w:rFonts w:hint="eastAsia" w:ascii="仿宋_GB2312" w:hAnsi="宋体" w:eastAsia="仿宋_GB2312" w:cs="Times New Roman"/>
          <w:color w:val="000000"/>
          <w:sz w:val="32"/>
          <w:szCs w:val="32"/>
        </w:rPr>
        <w:t xml:space="preserve"> 1428-2010 微量元素水溶肥料》外观要求（见图2）拟定，外观为：均匀的液体</w:t>
      </w:r>
      <w:r>
        <w:rPr>
          <w:rFonts w:hint="eastAsia" w:ascii="仿宋_GB2312" w:hAnsi="宋体" w:eastAsia="仿宋_GB2312"/>
          <w:sz w:val="32"/>
          <w:szCs w:val="32"/>
          <w:lang w:val="zh-CN"/>
        </w:rPr>
        <w:t>。</w:t>
      </w:r>
    </w:p>
    <w:p w14:paraId="77FDF28A">
      <w:pPr>
        <w:keepNext w:val="0"/>
        <w:keepLines w:val="0"/>
        <w:pageBreakBefore w:val="0"/>
        <w:widowControl w:val="0"/>
        <w:kinsoku/>
        <w:wordWrap/>
        <w:overflowPunct/>
        <w:topLinePunct w:val="0"/>
        <w:autoSpaceDE w:val="0"/>
        <w:autoSpaceDN w:val="0"/>
        <w:bidi w:val="0"/>
        <w:adjustRightInd w:val="0"/>
        <w:snapToGrid/>
        <w:spacing w:before="156" w:beforeLines="50" w:after="156" w:afterLines="50" w:line="240" w:lineRule="auto"/>
        <w:ind w:firstLine="0" w:firstLineChars="0"/>
        <w:jc w:val="center"/>
        <w:textAlignment w:val="auto"/>
        <w:rPr>
          <w:b/>
          <w:bCs/>
          <w:sz w:val="24"/>
          <w:szCs w:val="28"/>
        </w:rPr>
      </w:pPr>
      <w:r>
        <w:drawing>
          <wp:inline distT="0" distB="0" distL="114300" distR="114300">
            <wp:extent cx="4015740" cy="830580"/>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4015740" cy="830580"/>
                    </a:xfrm>
                    <a:prstGeom prst="rect">
                      <a:avLst/>
                    </a:prstGeom>
                    <a:noFill/>
                    <a:ln>
                      <a:noFill/>
                    </a:ln>
                  </pic:spPr>
                </pic:pic>
              </a:graphicData>
            </a:graphic>
          </wp:inline>
        </w:drawing>
      </w:r>
    </w:p>
    <w:p w14:paraId="72099D17">
      <w:pPr>
        <w:autoSpaceDE w:val="0"/>
        <w:autoSpaceDN w:val="0"/>
        <w:adjustRightInd w:val="0"/>
        <w:spacing w:before="156" w:beforeLines="50" w:after="156" w:afterLines="50" w:line="560" w:lineRule="exact"/>
        <w:ind w:firstLine="562" w:firstLineChars="200"/>
        <w:jc w:val="center"/>
        <w:rPr>
          <w:rFonts w:hint="eastAsia"/>
          <w:b/>
          <w:bCs/>
          <w:sz w:val="24"/>
          <w:szCs w:val="28"/>
        </w:rPr>
      </w:pPr>
      <w:r>
        <w:rPr>
          <w:rFonts w:hint="eastAsia" w:ascii="仿宋_GB2312" w:hAnsi="宋体" w:eastAsia="仿宋_GB2312"/>
          <w:b/>
          <w:color w:val="000000"/>
          <w:sz w:val="28"/>
          <w:szCs w:val="28"/>
        </w:rPr>
        <w:t>图</w:t>
      </w:r>
      <w:r>
        <w:rPr>
          <w:rFonts w:hint="eastAsia" w:ascii="仿宋_GB2312" w:hAnsi="宋体" w:eastAsia="仿宋_GB2312"/>
          <w:b/>
          <w:color w:val="000000"/>
          <w:sz w:val="28"/>
          <w:szCs w:val="28"/>
          <w:lang w:val="en-US" w:eastAsia="zh-CN"/>
        </w:rPr>
        <w:t>1</w:t>
      </w:r>
      <w:r>
        <w:rPr>
          <w:rFonts w:hint="eastAsia" w:ascii="仿宋_GB2312" w:hAnsi="宋体" w:eastAsia="仿宋_GB2312"/>
          <w:b/>
          <w:color w:val="000000"/>
          <w:sz w:val="28"/>
          <w:szCs w:val="28"/>
        </w:rPr>
        <w:t xml:space="preserve">  《NY/ 1428-2010 微量元素水溶肥料》（外观）</w:t>
      </w:r>
    </w:p>
    <w:p w14:paraId="5F7E8DC9">
      <w:pPr>
        <w:ind w:firstLine="640" w:firstLineChars="200"/>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rPr>
        <w:t>技术指标：</w:t>
      </w:r>
      <w:r>
        <w:rPr>
          <w:rFonts w:hint="eastAsia" w:ascii="仿宋_GB2312" w:hAnsi="宋体" w:eastAsia="仿宋_GB2312" w:cs="Times New Roman"/>
          <w:color w:val="000000"/>
          <w:sz w:val="32"/>
          <w:szCs w:val="32"/>
          <w:lang w:val="en-US" w:eastAsia="zh-CN"/>
        </w:rPr>
        <w:t>4</w:t>
      </w:r>
      <w:r>
        <w:rPr>
          <w:rFonts w:hint="eastAsia" w:ascii="仿宋_GB2312" w:hAnsi="宋体" w:eastAsia="仿宋_GB2312" w:cs="Times New Roman"/>
          <w:color w:val="000000"/>
          <w:sz w:val="32"/>
          <w:szCs w:val="32"/>
        </w:rPr>
        <w:t>家企业桉树专用有机无机复混肥料的检验检测结果见表1</w:t>
      </w:r>
      <w:r>
        <w:rPr>
          <w:rFonts w:hint="eastAsia" w:ascii="仿宋_GB2312" w:hAnsi="宋体" w:eastAsia="仿宋_GB2312" w:cs="Times New Roman"/>
          <w:color w:val="000000"/>
          <w:sz w:val="32"/>
          <w:szCs w:val="32"/>
          <w:lang w:val="en-US" w:eastAsia="zh-CN"/>
        </w:rPr>
        <w:t>。</w:t>
      </w:r>
    </w:p>
    <w:p w14:paraId="7280247D">
      <w:pPr>
        <w:ind w:firstLine="640" w:firstLineChars="200"/>
        <w:rPr>
          <w:rFonts w:hint="eastAsia" w:ascii="仿宋_GB2312" w:hAnsi="宋体" w:eastAsia="仿宋_GB2312" w:cs="Times New Roman"/>
          <w:color w:val="000000"/>
          <w:sz w:val="32"/>
          <w:szCs w:val="32"/>
          <w:lang w:val="en-US" w:eastAsia="zh-CN"/>
        </w:rPr>
      </w:pPr>
    </w:p>
    <w:p w14:paraId="4B687C77">
      <w:pPr>
        <w:ind w:firstLine="640" w:firstLineChars="200"/>
        <w:rPr>
          <w:rFonts w:hint="eastAsia" w:ascii="仿宋_GB2312" w:hAnsi="宋体" w:eastAsia="仿宋_GB2312" w:cs="Times New Roman"/>
          <w:color w:val="000000"/>
          <w:sz w:val="32"/>
          <w:szCs w:val="32"/>
          <w:lang w:val="en-US" w:eastAsia="zh-CN"/>
        </w:rPr>
      </w:pPr>
    </w:p>
    <w:p w14:paraId="2DBBC154">
      <w:pPr>
        <w:autoSpaceDE w:val="0"/>
        <w:autoSpaceDN w:val="0"/>
        <w:adjustRightInd w:val="0"/>
        <w:spacing w:before="156" w:beforeLines="50" w:after="156" w:afterLines="50" w:line="560" w:lineRule="exact"/>
        <w:ind w:firstLine="562" w:firstLineChars="200"/>
        <w:jc w:val="center"/>
        <w:rPr>
          <w:rFonts w:hint="eastAsia" w:ascii="仿宋_GB2312" w:hAnsi="宋体" w:eastAsia="仿宋_GB2312"/>
          <w:b/>
          <w:color w:val="000000"/>
          <w:sz w:val="28"/>
          <w:szCs w:val="28"/>
        </w:rPr>
      </w:pPr>
      <w:r>
        <w:rPr>
          <w:rFonts w:hint="eastAsia" w:ascii="仿宋_GB2312" w:hAnsi="宋体" w:eastAsia="仿宋_GB2312"/>
          <w:b/>
          <w:color w:val="000000"/>
          <w:sz w:val="28"/>
          <w:szCs w:val="28"/>
        </w:rPr>
        <w:t>表1</w:t>
      </w:r>
      <w:r>
        <w:rPr>
          <w:rFonts w:hint="eastAsia" w:ascii="仿宋_GB2312" w:hAnsi="宋体" w:eastAsia="仿宋_GB2312"/>
          <w:b/>
          <w:color w:val="000000"/>
          <w:sz w:val="28"/>
          <w:szCs w:val="28"/>
          <w:lang w:val="en-US" w:eastAsia="zh-CN"/>
        </w:rPr>
        <w:t xml:space="preserve"> </w:t>
      </w:r>
      <w:r>
        <w:rPr>
          <w:rFonts w:hint="eastAsia" w:ascii="仿宋_GB2312" w:hAnsi="宋体" w:eastAsia="仿宋_GB2312"/>
          <w:b/>
          <w:color w:val="000000"/>
          <w:sz w:val="28"/>
          <w:szCs w:val="28"/>
        </w:rPr>
        <w:t>阻镉富硒微量元素水溶肥料产品检测数据汇总表</w:t>
      </w:r>
    </w:p>
    <w:tbl>
      <w:tblPr>
        <w:tblStyle w:val="8"/>
        <w:tblW w:w="98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253"/>
        <w:gridCol w:w="1230"/>
        <w:gridCol w:w="1400"/>
        <w:gridCol w:w="1390"/>
        <w:gridCol w:w="1380"/>
        <w:gridCol w:w="1180"/>
        <w:gridCol w:w="1230"/>
      </w:tblGrid>
      <w:tr w14:paraId="28DA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763" w:type="dxa"/>
            <w:vMerge w:val="restart"/>
            <w:noWrap w:val="0"/>
            <w:vAlign w:val="center"/>
          </w:tcPr>
          <w:p w14:paraId="5F5E9F12">
            <w:pPr>
              <w:snapToGrid w:val="0"/>
              <w:ind w:left="0" w:leftChars="0" w:right="0" w:rightChars="0" w:firstLine="0" w:firstLineChars="0"/>
              <w:jc w:val="center"/>
              <w:rPr>
                <w:rFonts w:hint="eastAsia" w:ascii="方正仿宋_GB2312" w:hAnsi="方正仿宋_GB2312" w:eastAsia="方正仿宋_GB2312" w:cs="方正仿宋_GB2312"/>
                <w:b/>
                <w:bCs w:val="0"/>
                <w:sz w:val="22"/>
                <w:szCs w:val="22"/>
                <w:vertAlign w:val="baseline"/>
                <w:lang w:val="en-US" w:eastAsia="zh-CN"/>
              </w:rPr>
            </w:pPr>
            <w:r>
              <w:rPr>
                <w:rFonts w:hint="eastAsia" w:ascii="方正仿宋_GB2312" w:hAnsi="方正仿宋_GB2312" w:eastAsia="方正仿宋_GB2312" w:cs="方正仿宋_GB2312"/>
                <w:b/>
                <w:bCs w:val="0"/>
                <w:sz w:val="22"/>
                <w:szCs w:val="22"/>
                <w:vertAlign w:val="baseline"/>
                <w:lang w:val="en-US" w:eastAsia="zh-CN"/>
              </w:rPr>
              <w:t>样品序号</w:t>
            </w:r>
          </w:p>
        </w:tc>
        <w:tc>
          <w:tcPr>
            <w:tcW w:w="1253" w:type="dxa"/>
            <w:vMerge w:val="restart"/>
            <w:noWrap w:val="0"/>
            <w:vAlign w:val="center"/>
          </w:tcPr>
          <w:p w14:paraId="2526C77A">
            <w:pPr>
              <w:snapToGrid w:val="0"/>
              <w:ind w:left="0" w:leftChars="0" w:right="0" w:rightChars="0" w:firstLine="0" w:firstLineChars="0"/>
              <w:jc w:val="center"/>
              <w:rPr>
                <w:rFonts w:hint="eastAsia" w:ascii="方正仿宋_GB2312" w:hAnsi="方正仿宋_GB2312" w:eastAsia="方正仿宋_GB2312" w:cs="方正仿宋_GB2312"/>
                <w:b/>
                <w:bCs w:val="0"/>
                <w:sz w:val="22"/>
                <w:szCs w:val="22"/>
                <w:vertAlign w:val="baseline"/>
                <w:lang w:val="en-US" w:eastAsia="zh-CN"/>
              </w:rPr>
            </w:pPr>
            <w:r>
              <w:rPr>
                <w:rFonts w:hint="eastAsia" w:ascii="方正仿宋_GB2312" w:hAnsi="方正仿宋_GB2312" w:eastAsia="方正仿宋_GB2312" w:cs="方正仿宋_GB2312"/>
                <w:b/>
                <w:bCs w:val="0"/>
                <w:sz w:val="22"/>
                <w:szCs w:val="22"/>
                <w:vertAlign w:val="baseline"/>
                <w:lang w:val="en-US" w:eastAsia="zh-CN"/>
              </w:rPr>
              <w:t>产品生产时间</w:t>
            </w:r>
          </w:p>
        </w:tc>
        <w:tc>
          <w:tcPr>
            <w:tcW w:w="1230" w:type="dxa"/>
            <w:vMerge w:val="restart"/>
            <w:noWrap w:val="0"/>
            <w:vAlign w:val="center"/>
          </w:tcPr>
          <w:p w14:paraId="1A9258A7">
            <w:pPr>
              <w:snapToGrid w:val="0"/>
              <w:ind w:left="0" w:leftChars="0" w:right="0" w:rightChars="0" w:firstLine="0" w:firstLineChars="0"/>
              <w:jc w:val="center"/>
              <w:rPr>
                <w:rFonts w:hint="eastAsia" w:ascii="方正仿宋_GB2312" w:hAnsi="方正仿宋_GB2312" w:eastAsia="方正仿宋_GB2312" w:cs="方正仿宋_GB2312"/>
                <w:b/>
                <w:bCs w:val="0"/>
                <w:sz w:val="22"/>
                <w:szCs w:val="22"/>
                <w:vertAlign w:val="baseline"/>
                <w:lang w:val="en-US" w:eastAsia="zh-CN"/>
              </w:rPr>
            </w:pPr>
            <w:r>
              <w:rPr>
                <w:rFonts w:hint="eastAsia" w:ascii="方正仿宋_GB2312" w:hAnsi="方正仿宋_GB2312" w:eastAsia="方正仿宋_GB2312" w:cs="方正仿宋_GB2312"/>
                <w:b/>
                <w:bCs w:val="0"/>
                <w:sz w:val="22"/>
                <w:szCs w:val="22"/>
                <w:vertAlign w:val="baseline"/>
                <w:lang w:val="en-US" w:eastAsia="zh-CN"/>
              </w:rPr>
              <w:t>检测时间</w:t>
            </w:r>
          </w:p>
        </w:tc>
        <w:tc>
          <w:tcPr>
            <w:tcW w:w="6580" w:type="dxa"/>
            <w:gridSpan w:val="5"/>
            <w:noWrap w:val="0"/>
            <w:vAlign w:val="center"/>
          </w:tcPr>
          <w:p w14:paraId="38CA695C">
            <w:pPr>
              <w:snapToGrid w:val="0"/>
              <w:ind w:left="0" w:leftChars="0" w:right="0" w:rightChars="0" w:firstLine="0" w:firstLineChars="0"/>
              <w:jc w:val="center"/>
              <w:rPr>
                <w:rFonts w:hint="eastAsia" w:ascii="方正仿宋_GB2312" w:hAnsi="方正仿宋_GB2312" w:eastAsia="方正仿宋_GB2312" w:cs="方正仿宋_GB2312"/>
                <w:b/>
                <w:bCs w:val="0"/>
                <w:sz w:val="22"/>
                <w:szCs w:val="22"/>
                <w:vertAlign w:val="baseline"/>
                <w:lang w:val="en-US" w:eastAsia="zh-CN"/>
              </w:rPr>
            </w:pPr>
            <w:r>
              <w:rPr>
                <w:rFonts w:hint="eastAsia" w:ascii="方正仿宋_GB2312" w:hAnsi="方正仿宋_GB2312" w:eastAsia="方正仿宋_GB2312" w:cs="方正仿宋_GB2312"/>
                <w:b/>
                <w:bCs w:val="0"/>
                <w:sz w:val="22"/>
                <w:szCs w:val="22"/>
                <w:vertAlign w:val="baseline"/>
                <w:lang w:val="en-US" w:eastAsia="zh-CN"/>
              </w:rPr>
              <w:t>检测结果</w:t>
            </w:r>
          </w:p>
        </w:tc>
      </w:tr>
      <w:tr w14:paraId="6DE08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763" w:type="dxa"/>
            <w:vMerge w:val="continue"/>
            <w:noWrap w:val="0"/>
            <w:vAlign w:val="center"/>
          </w:tcPr>
          <w:p w14:paraId="522DC830">
            <w:pPr>
              <w:snapToGrid w:val="0"/>
              <w:ind w:left="0" w:leftChars="0" w:right="0" w:rightChars="0" w:firstLine="0" w:firstLineChars="0"/>
              <w:jc w:val="center"/>
              <w:rPr>
                <w:rFonts w:hint="eastAsia" w:ascii="方正仿宋_GB2312" w:hAnsi="方正仿宋_GB2312" w:eastAsia="方正仿宋_GB2312" w:cs="方正仿宋_GB2312"/>
                <w:b/>
                <w:bCs w:val="0"/>
                <w:sz w:val="22"/>
                <w:szCs w:val="22"/>
                <w:vertAlign w:val="baseline"/>
                <w:lang w:val="en-US" w:eastAsia="zh-CN"/>
              </w:rPr>
            </w:pPr>
          </w:p>
        </w:tc>
        <w:tc>
          <w:tcPr>
            <w:tcW w:w="1253" w:type="dxa"/>
            <w:vMerge w:val="continue"/>
            <w:noWrap w:val="0"/>
            <w:vAlign w:val="center"/>
          </w:tcPr>
          <w:p w14:paraId="388B95D8">
            <w:pPr>
              <w:snapToGrid w:val="0"/>
              <w:ind w:left="0" w:leftChars="0" w:right="0" w:rightChars="0" w:firstLine="0" w:firstLineChars="0"/>
              <w:jc w:val="center"/>
              <w:rPr>
                <w:rFonts w:hint="eastAsia" w:ascii="方正仿宋_GB2312" w:hAnsi="方正仿宋_GB2312" w:eastAsia="方正仿宋_GB2312" w:cs="方正仿宋_GB2312"/>
                <w:b/>
                <w:bCs w:val="0"/>
                <w:sz w:val="22"/>
                <w:szCs w:val="22"/>
                <w:vertAlign w:val="baseline"/>
                <w:lang w:val="en-US" w:eastAsia="zh-CN"/>
              </w:rPr>
            </w:pPr>
          </w:p>
        </w:tc>
        <w:tc>
          <w:tcPr>
            <w:tcW w:w="1230" w:type="dxa"/>
            <w:vMerge w:val="continue"/>
            <w:noWrap w:val="0"/>
            <w:vAlign w:val="center"/>
          </w:tcPr>
          <w:p w14:paraId="419F1118">
            <w:pPr>
              <w:snapToGrid w:val="0"/>
              <w:ind w:left="0" w:leftChars="0" w:right="0" w:rightChars="0" w:firstLine="0" w:firstLineChars="0"/>
              <w:jc w:val="center"/>
              <w:rPr>
                <w:rFonts w:hint="eastAsia" w:ascii="方正仿宋_GB2312" w:hAnsi="方正仿宋_GB2312" w:eastAsia="方正仿宋_GB2312" w:cs="方正仿宋_GB2312"/>
                <w:b/>
                <w:bCs w:val="0"/>
                <w:sz w:val="22"/>
                <w:szCs w:val="22"/>
                <w:vertAlign w:val="baseline"/>
                <w:lang w:val="en-US" w:eastAsia="zh-CN"/>
              </w:rPr>
            </w:pPr>
          </w:p>
        </w:tc>
        <w:tc>
          <w:tcPr>
            <w:tcW w:w="1400" w:type="dxa"/>
            <w:noWrap w:val="0"/>
            <w:vAlign w:val="center"/>
          </w:tcPr>
          <w:p w14:paraId="4A516908">
            <w:pPr>
              <w:snapToGrid w:val="0"/>
              <w:ind w:left="0" w:leftChars="0" w:right="0" w:rightChars="0" w:firstLine="0" w:firstLineChars="0"/>
              <w:jc w:val="center"/>
              <w:rPr>
                <w:rFonts w:hint="eastAsia" w:ascii="方正仿宋_GB2312" w:hAnsi="方正仿宋_GB2312" w:eastAsia="方正仿宋_GB2312" w:cs="方正仿宋_GB2312"/>
                <w:b/>
                <w:bCs w:val="0"/>
                <w:kern w:val="2"/>
                <w:sz w:val="22"/>
                <w:szCs w:val="22"/>
                <w:vertAlign w:val="baseline"/>
                <w:lang w:val="en-US" w:eastAsia="zh-CN" w:bidi="ar-SA"/>
              </w:rPr>
            </w:pPr>
            <w:r>
              <w:rPr>
                <w:rFonts w:hint="eastAsia" w:ascii="方正仿宋_GB2312" w:hAnsi="方正仿宋_GB2312" w:eastAsia="方正仿宋_GB2312" w:cs="方正仿宋_GB2312"/>
                <w:b/>
                <w:bCs w:val="0"/>
                <w:sz w:val="22"/>
                <w:szCs w:val="22"/>
                <w:vertAlign w:val="baseline"/>
                <w:lang w:val="en-US" w:eastAsia="zh-CN"/>
              </w:rPr>
              <w:t>锌</w:t>
            </w:r>
          </w:p>
        </w:tc>
        <w:tc>
          <w:tcPr>
            <w:tcW w:w="1390" w:type="dxa"/>
            <w:noWrap w:val="0"/>
            <w:vAlign w:val="center"/>
          </w:tcPr>
          <w:p w14:paraId="76C79466">
            <w:pPr>
              <w:snapToGrid w:val="0"/>
              <w:ind w:left="0" w:leftChars="0" w:right="0" w:rightChars="0" w:firstLine="0" w:firstLineChars="0"/>
              <w:jc w:val="center"/>
              <w:rPr>
                <w:rFonts w:hint="eastAsia" w:ascii="方正仿宋_GB2312" w:hAnsi="方正仿宋_GB2312" w:eastAsia="方正仿宋_GB2312" w:cs="方正仿宋_GB2312"/>
                <w:b/>
                <w:bCs w:val="0"/>
                <w:kern w:val="2"/>
                <w:sz w:val="22"/>
                <w:szCs w:val="22"/>
                <w:vertAlign w:val="baseline"/>
                <w:lang w:val="en-US" w:eastAsia="zh-CN" w:bidi="ar-SA"/>
              </w:rPr>
            </w:pPr>
            <w:r>
              <w:rPr>
                <w:rFonts w:hint="eastAsia" w:ascii="方正仿宋_GB2312" w:hAnsi="方正仿宋_GB2312" w:eastAsia="方正仿宋_GB2312" w:cs="方正仿宋_GB2312"/>
                <w:b/>
                <w:sz w:val="22"/>
                <w:szCs w:val="22"/>
                <w:lang w:eastAsia="zh-CN"/>
              </w:rPr>
              <w:t>锰</w:t>
            </w:r>
          </w:p>
        </w:tc>
        <w:tc>
          <w:tcPr>
            <w:tcW w:w="1380" w:type="dxa"/>
            <w:noWrap w:val="0"/>
            <w:vAlign w:val="center"/>
          </w:tcPr>
          <w:p w14:paraId="1CDEFF41">
            <w:pPr>
              <w:snapToGrid w:val="0"/>
              <w:ind w:left="0" w:leftChars="0" w:right="0" w:rightChars="0" w:firstLine="0" w:firstLineChars="0"/>
              <w:jc w:val="center"/>
              <w:rPr>
                <w:rFonts w:hint="eastAsia" w:ascii="方正仿宋_GB2312" w:hAnsi="方正仿宋_GB2312" w:eastAsia="方正仿宋_GB2312" w:cs="方正仿宋_GB2312"/>
                <w:b/>
                <w:bCs w:val="0"/>
                <w:kern w:val="2"/>
                <w:sz w:val="22"/>
                <w:szCs w:val="22"/>
                <w:vertAlign w:val="baseline"/>
                <w:lang w:val="en-US" w:eastAsia="zh-CN" w:bidi="ar-SA"/>
              </w:rPr>
            </w:pPr>
            <w:r>
              <w:rPr>
                <w:rFonts w:hint="eastAsia" w:ascii="方正仿宋_GB2312" w:hAnsi="方正仿宋_GB2312" w:eastAsia="方正仿宋_GB2312" w:cs="方正仿宋_GB2312"/>
                <w:b/>
                <w:sz w:val="22"/>
                <w:szCs w:val="22"/>
                <w:lang w:eastAsia="zh-CN"/>
              </w:rPr>
              <w:t>硅</w:t>
            </w:r>
          </w:p>
        </w:tc>
        <w:tc>
          <w:tcPr>
            <w:tcW w:w="1180" w:type="dxa"/>
            <w:noWrap w:val="0"/>
            <w:vAlign w:val="center"/>
          </w:tcPr>
          <w:p w14:paraId="4DBA43DF">
            <w:pPr>
              <w:snapToGrid w:val="0"/>
              <w:ind w:left="0" w:leftChars="0" w:right="0" w:rightChars="0" w:firstLine="0" w:firstLineChars="0"/>
              <w:jc w:val="center"/>
              <w:rPr>
                <w:rFonts w:hint="eastAsia" w:ascii="方正仿宋_GB2312" w:hAnsi="方正仿宋_GB2312" w:eastAsia="方正仿宋_GB2312" w:cs="方正仿宋_GB2312"/>
                <w:b/>
                <w:bCs w:val="0"/>
                <w:kern w:val="2"/>
                <w:sz w:val="22"/>
                <w:szCs w:val="22"/>
                <w:vertAlign w:val="baseline"/>
                <w:lang w:val="en-US" w:eastAsia="zh-CN" w:bidi="ar-SA"/>
              </w:rPr>
            </w:pPr>
            <w:r>
              <w:rPr>
                <w:rFonts w:hint="eastAsia" w:ascii="方正仿宋_GB2312" w:hAnsi="方正仿宋_GB2312" w:eastAsia="方正仿宋_GB2312" w:cs="方正仿宋_GB2312"/>
                <w:b/>
                <w:sz w:val="22"/>
                <w:szCs w:val="22"/>
                <w:lang w:eastAsia="zh-CN"/>
              </w:rPr>
              <w:t>硒</w:t>
            </w:r>
          </w:p>
        </w:tc>
        <w:tc>
          <w:tcPr>
            <w:tcW w:w="1230" w:type="dxa"/>
            <w:noWrap w:val="0"/>
            <w:vAlign w:val="center"/>
          </w:tcPr>
          <w:p w14:paraId="0799B6E4">
            <w:pPr>
              <w:snapToGrid w:val="0"/>
              <w:ind w:left="0" w:leftChars="0" w:right="0" w:rightChars="0" w:firstLine="0" w:firstLineChars="0"/>
              <w:jc w:val="center"/>
              <w:rPr>
                <w:rFonts w:hint="eastAsia" w:ascii="方正仿宋_GB2312" w:hAnsi="方正仿宋_GB2312" w:eastAsia="方正仿宋_GB2312" w:cs="方正仿宋_GB2312"/>
                <w:b/>
                <w:bCs w:val="0"/>
                <w:kern w:val="2"/>
                <w:sz w:val="22"/>
                <w:szCs w:val="22"/>
                <w:vertAlign w:val="baseline"/>
                <w:lang w:val="en-US" w:eastAsia="zh-CN" w:bidi="ar-SA"/>
              </w:rPr>
            </w:pPr>
            <w:r>
              <w:rPr>
                <w:rFonts w:hint="eastAsia" w:ascii="方正仿宋_GB2312" w:hAnsi="方正仿宋_GB2312" w:eastAsia="方正仿宋_GB2312" w:cs="方正仿宋_GB2312"/>
                <w:b/>
                <w:sz w:val="22"/>
                <w:szCs w:val="22"/>
                <w:lang w:val="en-US" w:eastAsia="zh-CN"/>
              </w:rPr>
              <w:t>pH</w:t>
            </w:r>
          </w:p>
        </w:tc>
      </w:tr>
      <w:tr w14:paraId="0A15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1F5A2CA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w:t>
            </w:r>
          </w:p>
        </w:tc>
        <w:tc>
          <w:tcPr>
            <w:tcW w:w="1253" w:type="dxa"/>
            <w:noWrap w:val="0"/>
            <w:vAlign w:val="center"/>
          </w:tcPr>
          <w:p w14:paraId="2C44621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2022.1.6</w:t>
            </w:r>
          </w:p>
        </w:tc>
        <w:tc>
          <w:tcPr>
            <w:tcW w:w="1230" w:type="dxa"/>
            <w:noWrap w:val="0"/>
            <w:vAlign w:val="center"/>
          </w:tcPr>
          <w:p w14:paraId="61306CE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2022.1.7</w:t>
            </w:r>
          </w:p>
        </w:tc>
        <w:tc>
          <w:tcPr>
            <w:tcW w:w="1400" w:type="dxa"/>
            <w:noWrap w:val="0"/>
            <w:vAlign w:val="center"/>
          </w:tcPr>
          <w:p w14:paraId="465D7B1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45.1</w:t>
            </w:r>
          </w:p>
        </w:tc>
        <w:tc>
          <w:tcPr>
            <w:tcW w:w="1390" w:type="dxa"/>
            <w:noWrap w:val="0"/>
            <w:vAlign w:val="center"/>
          </w:tcPr>
          <w:p w14:paraId="223F15F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54.9</w:t>
            </w:r>
          </w:p>
        </w:tc>
        <w:tc>
          <w:tcPr>
            <w:tcW w:w="1380" w:type="dxa"/>
            <w:noWrap w:val="0"/>
            <w:vAlign w:val="center"/>
          </w:tcPr>
          <w:p w14:paraId="55DDC56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38.6</w:t>
            </w:r>
          </w:p>
        </w:tc>
        <w:tc>
          <w:tcPr>
            <w:tcW w:w="1180" w:type="dxa"/>
            <w:noWrap w:val="0"/>
            <w:vAlign w:val="center"/>
          </w:tcPr>
          <w:p w14:paraId="2CEC2D4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0EBD7F4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7.1</w:t>
            </w:r>
          </w:p>
        </w:tc>
      </w:tr>
      <w:tr w14:paraId="7CF1F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2E3ABFF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w:t>
            </w:r>
          </w:p>
        </w:tc>
        <w:tc>
          <w:tcPr>
            <w:tcW w:w="1253" w:type="dxa"/>
            <w:noWrap w:val="0"/>
            <w:vAlign w:val="center"/>
          </w:tcPr>
          <w:p w14:paraId="1A7A43F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2022.1.20</w:t>
            </w:r>
          </w:p>
        </w:tc>
        <w:tc>
          <w:tcPr>
            <w:tcW w:w="1230" w:type="dxa"/>
            <w:noWrap w:val="0"/>
            <w:vAlign w:val="center"/>
          </w:tcPr>
          <w:p w14:paraId="31AFEA8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2022.21</w:t>
            </w:r>
          </w:p>
        </w:tc>
        <w:tc>
          <w:tcPr>
            <w:tcW w:w="1400" w:type="dxa"/>
            <w:noWrap w:val="0"/>
            <w:vAlign w:val="center"/>
          </w:tcPr>
          <w:p w14:paraId="195AFD7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44.9</w:t>
            </w:r>
          </w:p>
        </w:tc>
        <w:tc>
          <w:tcPr>
            <w:tcW w:w="1390" w:type="dxa"/>
            <w:noWrap w:val="0"/>
            <w:vAlign w:val="center"/>
          </w:tcPr>
          <w:p w14:paraId="54C75C9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55.1</w:t>
            </w:r>
          </w:p>
        </w:tc>
        <w:tc>
          <w:tcPr>
            <w:tcW w:w="1380" w:type="dxa"/>
            <w:noWrap w:val="0"/>
            <w:vAlign w:val="center"/>
          </w:tcPr>
          <w:p w14:paraId="0F900DC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38.9</w:t>
            </w:r>
          </w:p>
        </w:tc>
        <w:tc>
          <w:tcPr>
            <w:tcW w:w="1180" w:type="dxa"/>
            <w:noWrap w:val="0"/>
            <w:vAlign w:val="center"/>
          </w:tcPr>
          <w:p w14:paraId="39B238F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2543CAE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7AC38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014EE50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w:t>
            </w:r>
          </w:p>
        </w:tc>
        <w:tc>
          <w:tcPr>
            <w:tcW w:w="1253" w:type="dxa"/>
            <w:noWrap w:val="0"/>
            <w:vAlign w:val="center"/>
          </w:tcPr>
          <w:p w14:paraId="3068986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2022.3.2</w:t>
            </w:r>
          </w:p>
        </w:tc>
        <w:tc>
          <w:tcPr>
            <w:tcW w:w="1230" w:type="dxa"/>
            <w:noWrap w:val="0"/>
            <w:vAlign w:val="center"/>
          </w:tcPr>
          <w:p w14:paraId="3F24894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2022.3.3</w:t>
            </w:r>
          </w:p>
        </w:tc>
        <w:tc>
          <w:tcPr>
            <w:tcW w:w="1400" w:type="dxa"/>
            <w:noWrap w:val="0"/>
            <w:vAlign w:val="center"/>
          </w:tcPr>
          <w:p w14:paraId="0D1205C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45.6</w:t>
            </w:r>
          </w:p>
        </w:tc>
        <w:tc>
          <w:tcPr>
            <w:tcW w:w="1390" w:type="dxa"/>
            <w:noWrap w:val="0"/>
            <w:vAlign w:val="center"/>
          </w:tcPr>
          <w:p w14:paraId="5865298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55.2</w:t>
            </w:r>
          </w:p>
        </w:tc>
        <w:tc>
          <w:tcPr>
            <w:tcW w:w="1380" w:type="dxa"/>
            <w:noWrap w:val="0"/>
            <w:vAlign w:val="center"/>
          </w:tcPr>
          <w:p w14:paraId="213ED13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39.1</w:t>
            </w:r>
          </w:p>
        </w:tc>
        <w:tc>
          <w:tcPr>
            <w:tcW w:w="1180" w:type="dxa"/>
            <w:noWrap w:val="0"/>
            <w:vAlign w:val="center"/>
          </w:tcPr>
          <w:p w14:paraId="2786D6E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5D755E0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7.0</w:t>
            </w:r>
          </w:p>
        </w:tc>
      </w:tr>
      <w:tr w14:paraId="60ED2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41824A8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w:t>
            </w:r>
          </w:p>
        </w:tc>
        <w:tc>
          <w:tcPr>
            <w:tcW w:w="1253" w:type="dxa"/>
            <w:noWrap w:val="0"/>
            <w:vAlign w:val="center"/>
          </w:tcPr>
          <w:p w14:paraId="1DEA40D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2022.3.30</w:t>
            </w:r>
          </w:p>
        </w:tc>
        <w:tc>
          <w:tcPr>
            <w:tcW w:w="1230" w:type="dxa"/>
            <w:noWrap w:val="0"/>
            <w:vAlign w:val="center"/>
          </w:tcPr>
          <w:p w14:paraId="46BC2E8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2022.3.31</w:t>
            </w:r>
          </w:p>
        </w:tc>
        <w:tc>
          <w:tcPr>
            <w:tcW w:w="1400" w:type="dxa"/>
            <w:noWrap w:val="0"/>
            <w:vAlign w:val="center"/>
          </w:tcPr>
          <w:p w14:paraId="5DE0E59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45.5</w:t>
            </w:r>
          </w:p>
        </w:tc>
        <w:tc>
          <w:tcPr>
            <w:tcW w:w="1390" w:type="dxa"/>
            <w:noWrap w:val="0"/>
            <w:vAlign w:val="center"/>
          </w:tcPr>
          <w:p w14:paraId="7B66623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55.6</w:t>
            </w:r>
          </w:p>
        </w:tc>
        <w:tc>
          <w:tcPr>
            <w:tcW w:w="1380" w:type="dxa"/>
            <w:noWrap w:val="0"/>
            <w:vAlign w:val="center"/>
          </w:tcPr>
          <w:p w14:paraId="3B25097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39.2</w:t>
            </w:r>
          </w:p>
        </w:tc>
        <w:tc>
          <w:tcPr>
            <w:tcW w:w="1180" w:type="dxa"/>
            <w:noWrap w:val="0"/>
            <w:vAlign w:val="center"/>
          </w:tcPr>
          <w:p w14:paraId="055835B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3348042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7582B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572A3E0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w:t>
            </w:r>
          </w:p>
        </w:tc>
        <w:tc>
          <w:tcPr>
            <w:tcW w:w="1253" w:type="dxa"/>
            <w:noWrap w:val="0"/>
            <w:vAlign w:val="center"/>
          </w:tcPr>
          <w:p w14:paraId="71DE767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2022.4.7</w:t>
            </w:r>
          </w:p>
        </w:tc>
        <w:tc>
          <w:tcPr>
            <w:tcW w:w="1230" w:type="dxa"/>
            <w:noWrap w:val="0"/>
            <w:vAlign w:val="center"/>
          </w:tcPr>
          <w:p w14:paraId="632AC8D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2022.4.8</w:t>
            </w:r>
          </w:p>
        </w:tc>
        <w:tc>
          <w:tcPr>
            <w:tcW w:w="1400" w:type="dxa"/>
            <w:noWrap w:val="0"/>
            <w:vAlign w:val="center"/>
          </w:tcPr>
          <w:p w14:paraId="6534A65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45.3</w:t>
            </w:r>
          </w:p>
        </w:tc>
        <w:tc>
          <w:tcPr>
            <w:tcW w:w="1390" w:type="dxa"/>
            <w:noWrap w:val="0"/>
            <w:vAlign w:val="center"/>
          </w:tcPr>
          <w:p w14:paraId="0964BA5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55.3</w:t>
            </w:r>
          </w:p>
        </w:tc>
        <w:tc>
          <w:tcPr>
            <w:tcW w:w="1380" w:type="dxa"/>
            <w:noWrap w:val="0"/>
            <w:vAlign w:val="center"/>
          </w:tcPr>
          <w:p w14:paraId="198645B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39.5</w:t>
            </w:r>
          </w:p>
        </w:tc>
        <w:tc>
          <w:tcPr>
            <w:tcW w:w="1180" w:type="dxa"/>
            <w:noWrap w:val="0"/>
            <w:vAlign w:val="center"/>
          </w:tcPr>
          <w:p w14:paraId="6933305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791B236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6.8</w:t>
            </w:r>
          </w:p>
        </w:tc>
      </w:tr>
      <w:tr w14:paraId="67D9D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7B8F965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w:t>
            </w:r>
          </w:p>
        </w:tc>
        <w:tc>
          <w:tcPr>
            <w:tcW w:w="1253" w:type="dxa"/>
            <w:noWrap w:val="0"/>
            <w:vAlign w:val="center"/>
          </w:tcPr>
          <w:p w14:paraId="2D4168E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2022.4.19</w:t>
            </w:r>
          </w:p>
        </w:tc>
        <w:tc>
          <w:tcPr>
            <w:tcW w:w="1230" w:type="dxa"/>
            <w:noWrap w:val="0"/>
            <w:vAlign w:val="center"/>
          </w:tcPr>
          <w:p w14:paraId="03F2C87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2022.4.20</w:t>
            </w:r>
          </w:p>
        </w:tc>
        <w:tc>
          <w:tcPr>
            <w:tcW w:w="1400" w:type="dxa"/>
            <w:noWrap w:val="0"/>
            <w:vAlign w:val="center"/>
          </w:tcPr>
          <w:p w14:paraId="5F1BDFA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45.2</w:t>
            </w:r>
          </w:p>
        </w:tc>
        <w:tc>
          <w:tcPr>
            <w:tcW w:w="1390" w:type="dxa"/>
            <w:noWrap w:val="0"/>
            <w:vAlign w:val="center"/>
          </w:tcPr>
          <w:p w14:paraId="20E4DE3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55.2</w:t>
            </w:r>
          </w:p>
        </w:tc>
        <w:tc>
          <w:tcPr>
            <w:tcW w:w="1380" w:type="dxa"/>
            <w:noWrap w:val="0"/>
            <w:vAlign w:val="center"/>
          </w:tcPr>
          <w:p w14:paraId="5DD4FF7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39.6</w:t>
            </w:r>
          </w:p>
        </w:tc>
        <w:tc>
          <w:tcPr>
            <w:tcW w:w="1180" w:type="dxa"/>
            <w:noWrap w:val="0"/>
            <w:vAlign w:val="center"/>
          </w:tcPr>
          <w:p w14:paraId="6BEAF16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634AE00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7.0</w:t>
            </w:r>
          </w:p>
        </w:tc>
      </w:tr>
      <w:tr w14:paraId="7ACA6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681EE11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w:t>
            </w:r>
          </w:p>
        </w:tc>
        <w:tc>
          <w:tcPr>
            <w:tcW w:w="1253" w:type="dxa"/>
            <w:noWrap w:val="0"/>
            <w:vAlign w:val="center"/>
          </w:tcPr>
          <w:p w14:paraId="69890D3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2022.6.6</w:t>
            </w:r>
          </w:p>
        </w:tc>
        <w:tc>
          <w:tcPr>
            <w:tcW w:w="1230" w:type="dxa"/>
            <w:noWrap w:val="0"/>
            <w:vAlign w:val="center"/>
          </w:tcPr>
          <w:p w14:paraId="23AC841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2022.6.6</w:t>
            </w:r>
          </w:p>
        </w:tc>
        <w:tc>
          <w:tcPr>
            <w:tcW w:w="1400" w:type="dxa"/>
            <w:noWrap w:val="0"/>
            <w:vAlign w:val="center"/>
          </w:tcPr>
          <w:p w14:paraId="0A2801D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45.1</w:t>
            </w:r>
          </w:p>
        </w:tc>
        <w:tc>
          <w:tcPr>
            <w:tcW w:w="1390" w:type="dxa"/>
            <w:noWrap w:val="0"/>
            <w:vAlign w:val="center"/>
          </w:tcPr>
          <w:p w14:paraId="122C709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55.4</w:t>
            </w:r>
          </w:p>
        </w:tc>
        <w:tc>
          <w:tcPr>
            <w:tcW w:w="1380" w:type="dxa"/>
            <w:noWrap w:val="0"/>
            <w:vAlign w:val="center"/>
          </w:tcPr>
          <w:p w14:paraId="369F087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38.5</w:t>
            </w:r>
          </w:p>
        </w:tc>
        <w:tc>
          <w:tcPr>
            <w:tcW w:w="1180" w:type="dxa"/>
            <w:noWrap w:val="0"/>
            <w:vAlign w:val="center"/>
          </w:tcPr>
          <w:p w14:paraId="7E87078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45CBFD9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27455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6D38E15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8</w:t>
            </w:r>
          </w:p>
        </w:tc>
        <w:tc>
          <w:tcPr>
            <w:tcW w:w="1253" w:type="dxa"/>
            <w:noWrap w:val="0"/>
            <w:vAlign w:val="center"/>
          </w:tcPr>
          <w:p w14:paraId="5911452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2022.6.27</w:t>
            </w:r>
          </w:p>
        </w:tc>
        <w:tc>
          <w:tcPr>
            <w:tcW w:w="1230" w:type="dxa"/>
            <w:noWrap w:val="0"/>
            <w:vAlign w:val="center"/>
          </w:tcPr>
          <w:p w14:paraId="2443F48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2022.6.28</w:t>
            </w:r>
          </w:p>
        </w:tc>
        <w:tc>
          <w:tcPr>
            <w:tcW w:w="1400" w:type="dxa"/>
            <w:noWrap w:val="0"/>
            <w:vAlign w:val="center"/>
          </w:tcPr>
          <w:p w14:paraId="6E61D64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45.6</w:t>
            </w:r>
          </w:p>
        </w:tc>
        <w:tc>
          <w:tcPr>
            <w:tcW w:w="1390" w:type="dxa"/>
            <w:noWrap w:val="0"/>
            <w:vAlign w:val="center"/>
          </w:tcPr>
          <w:p w14:paraId="185237B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55.1</w:t>
            </w:r>
          </w:p>
        </w:tc>
        <w:tc>
          <w:tcPr>
            <w:tcW w:w="1380" w:type="dxa"/>
            <w:noWrap w:val="0"/>
            <w:vAlign w:val="center"/>
          </w:tcPr>
          <w:p w14:paraId="2C21EBE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38.9</w:t>
            </w:r>
          </w:p>
        </w:tc>
        <w:tc>
          <w:tcPr>
            <w:tcW w:w="1180" w:type="dxa"/>
            <w:noWrap w:val="0"/>
            <w:vAlign w:val="center"/>
          </w:tcPr>
          <w:p w14:paraId="59EBC6B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2.1</w:t>
            </w:r>
          </w:p>
        </w:tc>
        <w:tc>
          <w:tcPr>
            <w:tcW w:w="1230" w:type="dxa"/>
            <w:noWrap w:val="0"/>
            <w:vAlign w:val="center"/>
          </w:tcPr>
          <w:p w14:paraId="445D6B4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7.8</w:t>
            </w:r>
          </w:p>
        </w:tc>
      </w:tr>
      <w:tr w14:paraId="250D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6D1621D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9</w:t>
            </w:r>
          </w:p>
        </w:tc>
        <w:tc>
          <w:tcPr>
            <w:tcW w:w="1253" w:type="dxa"/>
            <w:noWrap w:val="0"/>
            <w:vAlign w:val="center"/>
          </w:tcPr>
          <w:p w14:paraId="496FD36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2022.7.4</w:t>
            </w:r>
          </w:p>
        </w:tc>
        <w:tc>
          <w:tcPr>
            <w:tcW w:w="1230" w:type="dxa"/>
            <w:noWrap w:val="0"/>
            <w:vAlign w:val="center"/>
          </w:tcPr>
          <w:p w14:paraId="20D178E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2022.7.5</w:t>
            </w:r>
          </w:p>
        </w:tc>
        <w:tc>
          <w:tcPr>
            <w:tcW w:w="1400" w:type="dxa"/>
            <w:noWrap w:val="0"/>
            <w:vAlign w:val="center"/>
          </w:tcPr>
          <w:p w14:paraId="0551BE0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45.5</w:t>
            </w:r>
          </w:p>
        </w:tc>
        <w:tc>
          <w:tcPr>
            <w:tcW w:w="1390" w:type="dxa"/>
            <w:noWrap w:val="0"/>
            <w:vAlign w:val="center"/>
          </w:tcPr>
          <w:p w14:paraId="60DBE40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55.4</w:t>
            </w:r>
          </w:p>
        </w:tc>
        <w:tc>
          <w:tcPr>
            <w:tcW w:w="1380" w:type="dxa"/>
            <w:noWrap w:val="0"/>
            <w:vAlign w:val="center"/>
          </w:tcPr>
          <w:p w14:paraId="472FD24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39.3</w:t>
            </w:r>
          </w:p>
        </w:tc>
        <w:tc>
          <w:tcPr>
            <w:tcW w:w="1180" w:type="dxa"/>
            <w:noWrap w:val="0"/>
            <w:vAlign w:val="center"/>
          </w:tcPr>
          <w:p w14:paraId="3C95701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719D12D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7.1</w:t>
            </w:r>
          </w:p>
        </w:tc>
      </w:tr>
      <w:tr w14:paraId="39A8A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6FC2A3D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10</w:t>
            </w:r>
          </w:p>
        </w:tc>
        <w:tc>
          <w:tcPr>
            <w:tcW w:w="1253" w:type="dxa"/>
            <w:noWrap w:val="0"/>
            <w:vAlign w:val="center"/>
          </w:tcPr>
          <w:p w14:paraId="49144C1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2022.7.21</w:t>
            </w:r>
          </w:p>
        </w:tc>
        <w:tc>
          <w:tcPr>
            <w:tcW w:w="1230" w:type="dxa"/>
            <w:noWrap w:val="0"/>
            <w:vAlign w:val="center"/>
          </w:tcPr>
          <w:p w14:paraId="117BAC7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2022.7.22</w:t>
            </w:r>
          </w:p>
        </w:tc>
        <w:tc>
          <w:tcPr>
            <w:tcW w:w="1400" w:type="dxa"/>
            <w:noWrap w:val="0"/>
            <w:vAlign w:val="center"/>
          </w:tcPr>
          <w:p w14:paraId="398809B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45.3</w:t>
            </w:r>
          </w:p>
        </w:tc>
        <w:tc>
          <w:tcPr>
            <w:tcW w:w="1390" w:type="dxa"/>
            <w:noWrap w:val="0"/>
            <w:vAlign w:val="center"/>
          </w:tcPr>
          <w:p w14:paraId="42268F6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55.3</w:t>
            </w:r>
          </w:p>
        </w:tc>
        <w:tc>
          <w:tcPr>
            <w:tcW w:w="1380" w:type="dxa"/>
            <w:noWrap w:val="0"/>
            <w:vAlign w:val="center"/>
          </w:tcPr>
          <w:p w14:paraId="05F0D9B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39.2</w:t>
            </w:r>
          </w:p>
        </w:tc>
        <w:tc>
          <w:tcPr>
            <w:tcW w:w="1180" w:type="dxa"/>
            <w:noWrap w:val="0"/>
            <w:vAlign w:val="center"/>
          </w:tcPr>
          <w:p w14:paraId="4739F98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04C24C7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4AC1B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2DC371E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11</w:t>
            </w:r>
          </w:p>
        </w:tc>
        <w:tc>
          <w:tcPr>
            <w:tcW w:w="1253" w:type="dxa"/>
            <w:noWrap w:val="0"/>
            <w:vAlign w:val="center"/>
          </w:tcPr>
          <w:p w14:paraId="14FB3BF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2022.12.8</w:t>
            </w:r>
          </w:p>
        </w:tc>
        <w:tc>
          <w:tcPr>
            <w:tcW w:w="1230" w:type="dxa"/>
            <w:noWrap w:val="0"/>
            <w:vAlign w:val="center"/>
          </w:tcPr>
          <w:p w14:paraId="7E5ACDA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2022.12.9</w:t>
            </w:r>
          </w:p>
        </w:tc>
        <w:tc>
          <w:tcPr>
            <w:tcW w:w="1400" w:type="dxa"/>
            <w:noWrap w:val="0"/>
            <w:vAlign w:val="center"/>
          </w:tcPr>
          <w:p w14:paraId="4A0B8F5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45.1</w:t>
            </w:r>
          </w:p>
        </w:tc>
        <w:tc>
          <w:tcPr>
            <w:tcW w:w="1390" w:type="dxa"/>
            <w:noWrap w:val="0"/>
            <w:vAlign w:val="center"/>
          </w:tcPr>
          <w:p w14:paraId="41ADFC5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55.4</w:t>
            </w:r>
          </w:p>
        </w:tc>
        <w:tc>
          <w:tcPr>
            <w:tcW w:w="1380" w:type="dxa"/>
            <w:noWrap w:val="0"/>
            <w:vAlign w:val="center"/>
          </w:tcPr>
          <w:p w14:paraId="4A79A74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39.5</w:t>
            </w:r>
          </w:p>
        </w:tc>
        <w:tc>
          <w:tcPr>
            <w:tcW w:w="1180" w:type="dxa"/>
            <w:noWrap w:val="0"/>
            <w:vAlign w:val="center"/>
          </w:tcPr>
          <w:p w14:paraId="5CF02BF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17D71F7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7.1</w:t>
            </w:r>
          </w:p>
        </w:tc>
      </w:tr>
      <w:tr w14:paraId="471A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3D9DE751">
            <w:pPr>
              <w:snapToGrid w:val="0"/>
              <w:ind w:left="0" w:leftChars="0" w:right="0" w:rightChars="0" w:firstLine="0" w:firstLineChars="0"/>
              <w:jc w:val="center"/>
              <w:rPr>
                <w:rFonts w:hint="eastAsia" w:ascii="方正仿宋_GB2312" w:hAnsi="方正仿宋_GB2312" w:eastAsia="方正仿宋_GB2312" w:cs="方正仿宋_GB2312"/>
                <w:b w:val="0"/>
                <w:bCs w:val="0"/>
                <w:kern w:val="2"/>
                <w:sz w:val="22"/>
                <w:szCs w:val="22"/>
                <w:vertAlign w:val="baseline"/>
                <w:lang w:val="en-US" w:eastAsia="zh-CN" w:bidi="ar-SA"/>
              </w:rPr>
            </w:pPr>
            <w:r>
              <w:rPr>
                <w:rFonts w:hint="eastAsia" w:ascii="方正仿宋_GB2312" w:hAnsi="方正仿宋_GB2312" w:eastAsia="方正仿宋_GB2312" w:cs="方正仿宋_GB2312"/>
                <w:b w:val="0"/>
                <w:bCs w:val="0"/>
                <w:sz w:val="22"/>
                <w:szCs w:val="22"/>
                <w:vertAlign w:val="baseline"/>
                <w:lang w:val="en-US" w:eastAsia="zh-CN"/>
              </w:rPr>
              <w:t>12</w:t>
            </w:r>
          </w:p>
        </w:tc>
        <w:tc>
          <w:tcPr>
            <w:tcW w:w="1253" w:type="dxa"/>
            <w:noWrap w:val="0"/>
            <w:vAlign w:val="center"/>
          </w:tcPr>
          <w:p w14:paraId="2288808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2023.5.5</w:t>
            </w:r>
          </w:p>
        </w:tc>
        <w:tc>
          <w:tcPr>
            <w:tcW w:w="1230" w:type="dxa"/>
            <w:noWrap w:val="0"/>
            <w:vAlign w:val="center"/>
          </w:tcPr>
          <w:p w14:paraId="3E680C1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2023.5.6</w:t>
            </w:r>
          </w:p>
        </w:tc>
        <w:tc>
          <w:tcPr>
            <w:tcW w:w="1400" w:type="dxa"/>
            <w:noWrap w:val="0"/>
            <w:vAlign w:val="center"/>
          </w:tcPr>
          <w:p w14:paraId="561DA18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45.4</w:t>
            </w:r>
          </w:p>
        </w:tc>
        <w:tc>
          <w:tcPr>
            <w:tcW w:w="1390" w:type="dxa"/>
            <w:noWrap w:val="0"/>
            <w:vAlign w:val="center"/>
          </w:tcPr>
          <w:p w14:paraId="22D856F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55.2</w:t>
            </w:r>
          </w:p>
        </w:tc>
        <w:tc>
          <w:tcPr>
            <w:tcW w:w="1380" w:type="dxa"/>
            <w:noWrap w:val="0"/>
            <w:vAlign w:val="center"/>
          </w:tcPr>
          <w:p w14:paraId="4BFEC12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39.4</w:t>
            </w:r>
          </w:p>
        </w:tc>
        <w:tc>
          <w:tcPr>
            <w:tcW w:w="1180" w:type="dxa"/>
            <w:noWrap w:val="0"/>
            <w:vAlign w:val="center"/>
          </w:tcPr>
          <w:p w14:paraId="35344F3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445C0F7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0DDD5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23E2343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13</w:t>
            </w:r>
          </w:p>
        </w:tc>
        <w:tc>
          <w:tcPr>
            <w:tcW w:w="1253" w:type="dxa"/>
            <w:noWrap w:val="0"/>
            <w:vAlign w:val="center"/>
          </w:tcPr>
          <w:p w14:paraId="7FDF62A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2023.3.6</w:t>
            </w:r>
          </w:p>
        </w:tc>
        <w:tc>
          <w:tcPr>
            <w:tcW w:w="1230" w:type="dxa"/>
            <w:noWrap w:val="0"/>
            <w:vAlign w:val="center"/>
          </w:tcPr>
          <w:p w14:paraId="37E61E4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2023.3.7</w:t>
            </w:r>
          </w:p>
        </w:tc>
        <w:tc>
          <w:tcPr>
            <w:tcW w:w="1400" w:type="dxa"/>
            <w:noWrap w:val="0"/>
            <w:vAlign w:val="center"/>
          </w:tcPr>
          <w:p w14:paraId="7653FC8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45.1</w:t>
            </w:r>
          </w:p>
        </w:tc>
        <w:tc>
          <w:tcPr>
            <w:tcW w:w="1390" w:type="dxa"/>
            <w:noWrap w:val="0"/>
            <w:vAlign w:val="center"/>
          </w:tcPr>
          <w:p w14:paraId="5CA8D2B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55.6</w:t>
            </w:r>
          </w:p>
        </w:tc>
        <w:tc>
          <w:tcPr>
            <w:tcW w:w="1380" w:type="dxa"/>
            <w:noWrap w:val="0"/>
            <w:vAlign w:val="center"/>
          </w:tcPr>
          <w:p w14:paraId="59CE73B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38.6</w:t>
            </w:r>
          </w:p>
        </w:tc>
        <w:tc>
          <w:tcPr>
            <w:tcW w:w="1180" w:type="dxa"/>
            <w:noWrap w:val="0"/>
            <w:vAlign w:val="center"/>
          </w:tcPr>
          <w:p w14:paraId="0FFDF19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6CDA7CD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7.0</w:t>
            </w:r>
          </w:p>
        </w:tc>
      </w:tr>
      <w:tr w14:paraId="6E83B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7B36B56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14</w:t>
            </w:r>
          </w:p>
        </w:tc>
        <w:tc>
          <w:tcPr>
            <w:tcW w:w="1253" w:type="dxa"/>
            <w:noWrap w:val="0"/>
            <w:vAlign w:val="center"/>
          </w:tcPr>
          <w:p w14:paraId="666CD6D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2023.3.28</w:t>
            </w:r>
          </w:p>
        </w:tc>
        <w:tc>
          <w:tcPr>
            <w:tcW w:w="1230" w:type="dxa"/>
            <w:noWrap w:val="0"/>
            <w:vAlign w:val="center"/>
          </w:tcPr>
          <w:p w14:paraId="7A24AA2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2023.3.29</w:t>
            </w:r>
          </w:p>
        </w:tc>
        <w:tc>
          <w:tcPr>
            <w:tcW w:w="1400" w:type="dxa"/>
            <w:noWrap w:val="0"/>
            <w:vAlign w:val="center"/>
          </w:tcPr>
          <w:p w14:paraId="21EA3ED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45.3</w:t>
            </w:r>
          </w:p>
        </w:tc>
        <w:tc>
          <w:tcPr>
            <w:tcW w:w="1390" w:type="dxa"/>
            <w:noWrap w:val="0"/>
            <w:vAlign w:val="center"/>
          </w:tcPr>
          <w:p w14:paraId="006A32F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55.3</w:t>
            </w:r>
          </w:p>
        </w:tc>
        <w:tc>
          <w:tcPr>
            <w:tcW w:w="1380" w:type="dxa"/>
            <w:noWrap w:val="0"/>
            <w:vAlign w:val="center"/>
          </w:tcPr>
          <w:p w14:paraId="5D5A0B4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39.1</w:t>
            </w:r>
          </w:p>
        </w:tc>
        <w:tc>
          <w:tcPr>
            <w:tcW w:w="1180" w:type="dxa"/>
            <w:noWrap w:val="0"/>
            <w:vAlign w:val="center"/>
          </w:tcPr>
          <w:p w14:paraId="54017E8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4F9A31C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57696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641A682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15</w:t>
            </w:r>
          </w:p>
        </w:tc>
        <w:tc>
          <w:tcPr>
            <w:tcW w:w="1253" w:type="dxa"/>
            <w:noWrap w:val="0"/>
            <w:vAlign w:val="center"/>
          </w:tcPr>
          <w:p w14:paraId="3119358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2023.4.3</w:t>
            </w:r>
          </w:p>
        </w:tc>
        <w:tc>
          <w:tcPr>
            <w:tcW w:w="1230" w:type="dxa"/>
            <w:noWrap w:val="0"/>
            <w:vAlign w:val="center"/>
          </w:tcPr>
          <w:p w14:paraId="09CF8C5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2023.4.4</w:t>
            </w:r>
          </w:p>
        </w:tc>
        <w:tc>
          <w:tcPr>
            <w:tcW w:w="1400" w:type="dxa"/>
            <w:noWrap w:val="0"/>
            <w:vAlign w:val="center"/>
          </w:tcPr>
          <w:p w14:paraId="74177B0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45.4</w:t>
            </w:r>
          </w:p>
        </w:tc>
        <w:tc>
          <w:tcPr>
            <w:tcW w:w="1390" w:type="dxa"/>
            <w:noWrap w:val="0"/>
            <w:vAlign w:val="center"/>
          </w:tcPr>
          <w:p w14:paraId="2E758EA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55.3</w:t>
            </w:r>
          </w:p>
        </w:tc>
        <w:tc>
          <w:tcPr>
            <w:tcW w:w="1380" w:type="dxa"/>
            <w:noWrap w:val="0"/>
            <w:vAlign w:val="center"/>
          </w:tcPr>
          <w:p w14:paraId="13D066C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39.1</w:t>
            </w:r>
          </w:p>
        </w:tc>
        <w:tc>
          <w:tcPr>
            <w:tcW w:w="1180" w:type="dxa"/>
            <w:noWrap w:val="0"/>
            <w:vAlign w:val="center"/>
          </w:tcPr>
          <w:p w14:paraId="06EF87F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50B5D0C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6.8</w:t>
            </w:r>
          </w:p>
        </w:tc>
      </w:tr>
      <w:tr w14:paraId="183B6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61B64B2C">
            <w:pPr>
              <w:snapToGrid w:val="0"/>
              <w:ind w:left="0" w:leftChars="0" w:right="0" w:rightChars="0" w:firstLine="0" w:firstLineChars="0"/>
              <w:jc w:val="center"/>
              <w:rPr>
                <w:rFonts w:hint="eastAsia" w:ascii="方正仿宋_GB2312" w:hAnsi="方正仿宋_GB2312" w:eastAsia="方正仿宋_GB2312" w:cs="方正仿宋_GB2312"/>
                <w:b w:val="0"/>
                <w:bCs w:val="0"/>
                <w:kern w:val="2"/>
                <w:sz w:val="22"/>
                <w:szCs w:val="22"/>
                <w:vertAlign w:val="baseline"/>
                <w:lang w:val="en-US" w:eastAsia="zh-CN" w:bidi="ar-SA"/>
              </w:rPr>
            </w:pPr>
            <w:r>
              <w:rPr>
                <w:rFonts w:hint="eastAsia" w:ascii="方正仿宋_GB2312" w:hAnsi="方正仿宋_GB2312" w:eastAsia="方正仿宋_GB2312" w:cs="方正仿宋_GB2312"/>
                <w:b w:val="0"/>
                <w:bCs w:val="0"/>
                <w:sz w:val="22"/>
                <w:szCs w:val="22"/>
                <w:vertAlign w:val="baseline"/>
                <w:lang w:val="en-US" w:eastAsia="zh-CN"/>
              </w:rPr>
              <w:t>16</w:t>
            </w:r>
          </w:p>
        </w:tc>
        <w:tc>
          <w:tcPr>
            <w:tcW w:w="1253" w:type="dxa"/>
            <w:noWrap w:val="0"/>
            <w:vAlign w:val="center"/>
          </w:tcPr>
          <w:p w14:paraId="4A31871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2023.4.19</w:t>
            </w:r>
          </w:p>
        </w:tc>
        <w:tc>
          <w:tcPr>
            <w:tcW w:w="1230" w:type="dxa"/>
            <w:noWrap w:val="0"/>
            <w:vAlign w:val="center"/>
          </w:tcPr>
          <w:p w14:paraId="58615DB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2023.4.20</w:t>
            </w:r>
          </w:p>
        </w:tc>
        <w:tc>
          <w:tcPr>
            <w:tcW w:w="1400" w:type="dxa"/>
            <w:noWrap w:val="0"/>
            <w:vAlign w:val="center"/>
          </w:tcPr>
          <w:p w14:paraId="785B094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45.2</w:t>
            </w:r>
          </w:p>
        </w:tc>
        <w:tc>
          <w:tcPr>
            <w:tcW w:w="1390" w:type="dxa"/>
            <w:noWrap w:val="0"/>
            <w:vAlign w:val="center"/>
          </w:tcPr>
          <w:p w14:paraId="3AB9FDD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54.9</w:t>
            </w:r>
          </w:p>
        </w:tc>
        <w:tc>
          <w:tcPr>
            <w:tcW w:w="1380" w:type="dxa"/>
            <w:noWrap w:val="0"/>
            <w:vAlign w:val="center"/>
          </w:tcPr>
          <w:p w14:paraId="33752C1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39.2</w:t>
            </w:r>
          </w:p>
        </w:tc>
        <w:tc>
          <w:tcPr>
            <w:tcW w:w="1180" w:type="dxa"/>
            <w:noWrap w:val="0"/>
            <w:vAlign w:val="center"/>
          </w:tcPr>
          <w:p w14:paraId="1B32C79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2.1</w:t>
            </w:r>
          </w:p>
        </w:tc>
        <w:tc>
          <w:tcPr>
            <w:tcW w:w="1230" w:type="dxa"/>
            <w:noWrap w:val="0"/>
            <w:vAlign w:val="center"/>
          </w:tcPr>
          <w:p w14:paraId="62879EC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7.0</w:t>
            </w:r>
          </w:p>
        </w:tc>
      </w:tr>
      <w:tr w14:paraId="0D892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05526E3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17</w:t>
            </w:r>
          </w:p>
        </w:tc>
        <w:tc>
          <w:tcPr>
            <w:tcW w:w="1253" w:type="dxa"/>
            <w:noWrap w:val="0"/>
            <w:vAlign w:val="center"/>
          </w:tcPr>
          <w:p w14:paraId="3CFD42A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2023.4.27</w:t>
            </w:r>
          </w:p>
        </w:tc>
        <w:tc>
          <w:tcPr>
            <w:tcW w:w="1230" w:type="dxa"/>
            <w:noWrap w:val="0"/>
            <w:vAlign w:val="center"/>
          </w:tcPr>
          <w:p w14:paraId="5CF5AE5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2023.4.28</w:t>
            </w:r>
          </w:p>
        </w:tc>
        <w:tc>
          <w:tcPr>
            <w:tcW w:w="1400" w:type="dxa"/>
            <w:noWrap w:val="0"/>
            <w:vAlign w:val="center"/>
          </w:tcPr>
          <w:p w14:paraId="1D5DF86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45.4</w:t>
            </w:r>
          </w:p>
        </w:tc>
        <w:tc>
          <w:tcPr>
            <w:tcW w:w="1390" w:type="dxa"/>
            <w:noWrap w:val="0"/>
            <w:vAlign w:val="center"/>
          </w:tcPr>
          <w:p w14:paraId="73DBF91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55.1</w:t>
            </w:r>
          </w:p>
        </w:tc>
        <w:tc>
          <w:tcPr>
            <w:tcW w:w="1380" w:type="dxa"/>
            <w:noWrap w:val="0"/>
            <w:vAlign w:val="center"/>
          </w:tcPr>
          <w:p w14:paraId="35F7808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39.5</w:t>
            </w:r>
          </w:p>
        </w:tc>
        <w:tc>
          <w:tcPr>
            <w:tcW w:w="1180" w:type="dxa"/>
            <w:noWrap w:val="0"/>
            <w:vAlign w:val="center"/>
          </w:tcPr>
          <w:p w14:paraId="718906D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506787B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04E0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75C2FAC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18</w:t>
            </w:r>
          </w:p>
        </w:tc>
        <w:tc>
          <w:tcPr>
            <w:tcW w:w="1253" w:type="dxa"/>
            <w:noWrap w:val="0"/>
            <w:vAlign w:val="center"/>
          </w:tcPr>
          <w:p w14:paraId="581C028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2023.5.5</w:t>
            </w:r>
          </w:p>
        </w:tc>
        <w:tc>
          <w:tcPr>
            <w:tcW w:w="1230" w:type="dxa"/>
            <w:noWrap w:val="0"/>
            <w:vAlign w:val="center"/>
          </w:tcPr>
          <w:p w14:paraId="68A095E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2023.5.6</w:t>
            </w:r>
          </w:p>
        </w:tc>
        <w:tc>
          <w:tcPr>
            <w:tcW w:w="1400" w:type="dxa"/>
            <w:noWrap w:val="0"/>
            <w:vAlign w:val="center"/>
          </w:tcPr>
          <w:p w14:paraId="2ABDFA9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45.6</w:t>
            </w:r>
          </w:p>
        </w:tc>
        <w:tc>
          <w:tcPr>
            <w:tcW w:w="1390" w:type="dxa"/>
            <w:noWrap w:val="0"/>
            <w:vAlign w:val="center"/>
          </w:tcPr>
          <w:p w14:paraId="0AB8F1E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55.2</w:t>
            </w:r>
          </w:p>
        </w:tc>
        <w:tc>
          <w:tcPr>
            <w:tcW w:w="1380" w:type="dxa"/>
            <w:noWrap w:val="0"/>
            <w:vAlign w:val="center"/>
          </w:tcPr>
          <w:p w14:paraId="6129697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39.6</w:t>
            </w:r>
          </w:p>
        </w:tc>
        <w:tc>
          <w:tcPr>
            <w:tcW w:w="1180" w:type="dxa"/>
            <w:noWrap w:val="0"/>
            <w:vAlign w:val="center"/>
          </w:tcPr>
          <w:p w14:paraId="3543A4A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0A85946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7.8</w:t>
            </w:r>
          </w:p>
        </w:tc>
      </w:tr>
      <w:tr w14:paraId="49CA8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0C31C1E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19</w:t>
            </w:r>
          </w:p>
        </w:tc>
        <w:tc>
          <w:tcPr>
            <w:tcW w:w="1253" w:type="dxa"/>
            <w:noWrap w:val="0"/>
            <w:vAlign w:val="center"/>
          </w:tcPr>
          <w:p w14:paraId="1BAB7DE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2023.5.18</w:t>
            </w:r>
          </w:p>
        </w:tc>
        <w:tc>
          <w:tcPr>
            <w:tcW w:w="1230" w:type="dxa"/>
            <w:noWrap w:val="0"/>
            <w:vAlign w:val="center"/>
          </w:tcPr>
          <w:p w14:paraId="15CCAD4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2023.5.19</w:t>
            </w:r>
          </w:p>
        </w:tc>
        <w:tc>
          <w:tcPr>
            <w:tcW w:w="1400" w:type="dxa"/>
            <w:noWrap w:val="0"/>
            <w:vAlign w:val="center"/>
          </w:tcPr>
          <w:p w14:paraId="491D6A1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45.4</w:t>
            </w:r>
          </w:p>
        </w:tc>
        <w:tc>
          <w:tcPr>
            <w:tcW w:w="1390" w:type="dxa"/>
            <w:noWrap w:val="0"/>
            <w:vAlign w:val="center"/>
          </w:tcPr>
          <w:p w14:paraId="4FDCCBF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55.6</w:t>
            </w:r>
          </w:p>
        </w:tc>
        <w:tc>
          <w:tcPr>
            <w:tcW w:w="1380" w:type="dxa"/>
            <w:noWrap w:val="0"/>
            <w:vAlign w:val="center"/>
          </w:tcPr>
          <w:p w14:paraId="1529139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38.6</w:t>
            </w:r>
          </w:p>
        </w:tc>
        <w:tc>
          <w:tcPr>
            <w:tcW w:w="1180" w:type="dxa"/>
            <w:noWrap w:val="0"/>
            <w:vAlign w:val="center"/>
          </w:tcPr>
          <w:p w14:paraId="1F9A66D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5DD3534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7.1</w:t>
            </w:r>
          </w:p>
        </w:tc>
      </w:tr>
      <w:tr w14:paraId="229C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3E5FB8F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20</w:t>
            </w:r>
          </w:p>
        </w:tc>
        <w:tc>
          <w:tcPr>
            <w:tcW w:w="1253" w:type="dxa"/>
            <w:noWrap w:val="0"/>
            <w:vAlign w:val="center"/>
          </w:tcPr>
          <w:p w14:paraId="52C077F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2023.5.30</w:t>
            </w:r>
          </w:p>
        </w:tc>
        <w:tc>
          <w:tcPr>
            <w:tcW w:w="1230" w:type="dxa"/>
            <w:noWrap w:val="0"/>
            <w:vAlign w:val="center"/>
          </w:tcPr>
          <w:p w14:paraId="3628747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2023.3.31</w:t>
            </w:r>
          </w:p>
        </w:tc>
        <w:tc>
          <w:tcPr>
            <w:tcW w:w="1400" w:type="dxa"/>
            <w:noWrap w:val="0"/>
            <w:vAlign w:val="center"/>
          </w:tcPr>
          <w:p w14:paraId="3EF5A84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45.2</w:t>
            </w:r>
          </w:p>
        </w:tc>
        <w:tc>
          <w:tcPr>
            <w:tcW w:w="1390" w:type="dxa"/>
            <w:noWrap w:val="0"/>
            <w:vAlign w:val="center"/>
          </w:tcPr>
          <w:p w14:paraId="2DBB20E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55.3</w:t>
            </w:r>
          </w:p>
        </w:tc>
        <w:tc>
          <w:tcPr>
            <w:tcW w:w="1380" w:type="dxa"/>
            <w:noWrap w:val="0"/>
            <w:vAlign w:val="center"/>
          </w:tcPr>
          <w:p w14:paraId="1519268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39.0</w:t>
            </w:r>
          </w:p>
        </w:tc>
        <w:tc>
          <w:tcPr>
            <w:tcW w:w="1180" w:type="dxa"/>
            <w:noWrap w:val="0"/>
            <w:vAlign w:val="center"/>
          </w:tcPr>
          <w:p w14:paraId="47B71AE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711A1CC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76AA1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3AB278D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21</w:t>
            </w:r>
          </w:p>
        </w:tc>
        <w:tc>
          <w:tcPr>
            <w:tcW w:w="1253" w:type="dxa"/>
            <w:noWrap w:val="0"/>
            <w:vAlign w:val="center"/>
          </w:tcPr>
          <w:p w14:paraId="05B88FF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2023.6.8</w:t>
            </w:r>
          </w:p>
        </w:tc>
        <w:tc>
          <w:tcPr>
            <w:tcW w:w="1230" w:type="dxa"/>
            <w:noWrap w:val="0"/>
            <w:vAlign w:val="center"/>
          </w:tcPr>
          <w:p w14:paraId="28B3713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2023.6.9</w:t>
            </w:r>
          </w:p>
        </w:tc>
        <w:tc>
          <w:tcPr>
            <w:tcW w:w="1400" w:type="dxa"/>
            <w:noWrap w:val="0"/>
            <w:vAlign w:val="center"/>
          </w:tcPr>
          <w:p w14:paraId="3F160D7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45.1</w:t>
            </w:r>
          </w:p>
        </w:tc>
        <w:tc>
          <w:tcPr>
            <w:tcW w:w="1390" w:type="dxa"/>
            <w:noWrap w:val="0"/>
            <w:vAlign w:val="center"/>
          </w:tcPr>
          <w:p w14:paraId="0C02097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55.2</w:t>
            </w:r>
          </w:p>
        </w:tc>
        <w:tc>
          <w:tcPr>
            <w:tcW w:w="1380" w:type="dxa"/>
            <w:noWrap w:val="0"/>
            <w:vAlign w:val="center"/>
          </w:tcPr>
          <w:p w14:paraId="0BAADC6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39.1</w:t>
            </w:r>
          </w:p>
        </w:tc>
        <w:tc>
          <w:tcPr>
            <w:tcW w:w="1180" w:type="dxa"/>
            <w:noWrap w:val="0"/>
            <w:vAlign w:val="center"/>
          </w:tcPr>
          <w:p w14:paraId="51A8ECC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423D195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7.1</w:t>
            </w:r>
          </w:p>
        </w:tc>
      </w:tr>
      <w:tr w14:paraId="52BD9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157919F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22</w:t>
            </w:r>
          </w:p>
        </w:tc>
        <w:tc>
          <w:tcPr>
            <w:tcW w:w="1253" w:type="dxa"/>
            <w:noWrap w:val="0"/>
            <w:vAlign w:val="center"/>
          </w:tcPr>
          <w:p w14:paraId="5586FFF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2023.6.27</w:t>
            </w:r>
          </w:p>
        </w:tc>
        <w:tc>
          <w:tcPr>
            <w:tcW w:w="1230" w:type="dxa"/>
            <w:noWrap w:val="0"/>
            <w:vAlign w:val="center"/>
          </w:tcPr>
          <w:p w14:paraId="4BFADF1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2023.6.29</w:t>
            </w:r>
          </w:p>
        </w:tc>
        <w:tc>
          <w:tcPr>
            <w:tcW w:w="1400" w:type="dxa"/>
            <w:noWrap w:val="0"/>
            <w:vAlign w:val="center"/>
          </w:tcPr>
          <w:p w14:paraId="04926EE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45.5</w:t>
            </w:r>
          </w:p>
        </w:tc>
        <w:tc>
          <w:tcPr>
            <w:tcW w:w="1390" w:type="dxa"/>
            <w:noWrap w:val="0"/>
            <w:vAlign w:val="center"/>
          </w:tcPr>
          <w:p w14:paraId="4A4C149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55.4</w:t>
            </w:r>
          </w:p>
        </w:tc>
        <w:tc>
          <w:tcPr>
            <w:tcW w:w="1380" w:type="dxa"/>
            <w:noWrap w:val="0"/>
            <w:vAlign w:val="center"/>
          </w:tcPr>
          <w:p w14:paraId="2F31AF7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39.2</w:t>
            </w:r>
          </w:p>
        </w:tc>
        <w:tc>
          <w:tcPr>
            <w:tcW w:w="1180" w:type="dxa"/>
            <w:noWrap w:val="0"/>
            <w:vAlign w:val="center"/>
          </w:tcPr>
          <w:p w14:paraId="2B0A7C3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46966C1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54757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5AD2F90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23</w:t>
            </w:r>
          </w:p>
        </w:tc>
        <w:tc>
          <w:tcPr>
            <w:tcW w:w="1253" w:type="dxa"/>
            <w:noWrap w:val="0"/>
            <w:vAlign w:val="center"/>
          </w:tcPr>
          <w:p w14:paraId="0CA2C31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2023.7.4</w:t>
            </w:r>
          </w:p>
        </w:tc>
        <w:tc>
          <w:tcPr>
            <w:tcW w:w="1230" w:type="dxa"/>
            <w:noWrap w:val="0"/>
            <w:vAlign w:val="center"/>
          </w:tcPr>
          <w:p w14:paraId="6AEC04D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2023.7.5</w:t>
            </w:r>
          </w:p>
        </w:tc>
        <w:tc>
          <w:tcPr>
            <w:tcW w:w="1400" w:type="dxa"/>
            <w:noWrap w:val="0"/>
            <w:vAlign w:val="center"/>
          </w:tcPr>
          <w:p w14:paraId="25FCD9C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45.5</w:t>
            </w:r>
          </w:p>
        </w:tc>
        <w:tc>
          <w:tcPr>
            <w:tcW w:w="1390" w:type="dxa"/>
            <w:noWrap w:val="0"/>
            <w:vAlign w:val="center"/>
          </w:tcPr>
          <w:p w14:paraId="31418A6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55.1</w:t>
            </w:r>
          </w:p>
        </w:tc>
        <w:tc>
          <w:tcPr>
            <w:tcW w:w="1380" w:type="dxa"/>
            <w:noWrap w:val="0"/>
            <w:vAlign w:val="center"/>
          </w:tcPr>
          <w:p w14:paraId="74E4821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39.5</w:t>
            </w:r>
          </w:p>
        </w:tc>
        <w:tc>
          <w:tcPr>
            <w:tcW w:w="1180" w:type="dxa"/>
            <w:noWrap w:val="0"/>
            <w:vAlign w:val="center"/>
          </w:tcPr>
          <w:p w14:paraId="2A6619B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496D01B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7.0</w:t>
            </w:r>
          </w:p>
        </w:tc>
      </w:tr>
      <w:tr w14:paraId="47F3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609267A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24</w:t>
            </w:r>
          </w:p>
        </w:tc>
        <w:tc>
          <w:tcPr>
            <w:tcW w:w="1253" w:type="dxa"/>
            <w:noWrap w:val="0"/>
            <w:vAlign w:val="center"/>
          </w:tcPr>
          <w:p w14:paraId="5A7891F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2023.7.19</w:t>
            </w:r>
          </w:p>
        </w:tc>
        <w:tc>
          <w:tcPr>
            <w:tcW w:w="1230" w:type="dxa"/>
            <w:noWrap w:val="0"/>
            <w:vAlign w:val="center"/>
          </w:tcPr>
          <w:p w14:paraId="1B5F172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2023.7.20</w:t>
            </w:r>
          </w:p>
        </w:tc>
        <w:tc>
          <w:tcPr>
            <w:tcW w:w="1400" w:type="dxa"/>
            <w:noWrap w:val="0"/>
            <w:vAlign w:val="center"/>
          </w:tcPr>
          <w:p w14:paraId="1467A76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45.1</w:t>
            </w:r>
          </w:p>
        </w:tc>
        <w:tc>
          <w:tcPr>
            <w:tcW w:w="1390" w:type="dxa"/>
            <w:noWrap w:val="0"/>
            <w:vAlign w:val="center"/>
          </w:tcPr>
          <w:p w14:paraId="1FA5CC4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lang w:val="en-US" w:eastAsia="zh-CN"/>
              </w:rPr>
              <w:t>55.4</w:t>
            </w:r>
          </w:p>
        </w:tc>
        <w:tc>
          <w:tcPr>
            <w:tcW w:w="1380" w:type="dxa"/>
            <w:noWrap w:val="0"/>
            <w:vAlign w:val="center"/>
          </w:tcPr>
          <w:p w14:paraId="77CCC65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39.6</w:t>
            </w:r>
          </w:p>
        </w:tc>
        <w:tc>
          <w:tcPr>
            <w:tcW w:w="1180" w:type="dxa"/>
            <w:noWrap w:val="0"/>
            <w:vAlign w:val="center"/>
          </w:tcPr>
          <w:p w14:paraId="38BDEB6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2.1</w:t>
            </w:r>
          </w:p>
        </w:tc>
        <w:tc>
          <w:tcPr>
            <w:tcW w:w="1230" w:type="dxa"/>
            <w:noWrap w:val="0"/>
            <w:vAlign w:val="center"/>
          </w:tcPr>
          <w:p w14:paraId="600FF60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6C30F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7FA3115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25</w:t>
            </w:r>
          </w:p>
        </w:tc>
        <w:tc>
          <w:tcPr>
            <w:tcW w:w="1253" w:type="dxa"/>
            <w:noWrap w:val="0"/>
            <w:vAlign w:val="center"/>
          </w:tcPr>
          <w:p w14:paraId="799EDFB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2023.7.26</w:t>
            </w:r>
          </w:p>
        </w:tc>
        <w:tc>
          <w:tcPr>
            <w:tcW w:w="1230" w:type="dxa"/>
            <w:noWrap w:val="0"/>
            <w:vAlign w:val="center"/>
          </w:tcPr>
          <w:p w14:paraId="22C99EF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2023.7.27</w:t>
            </w:r>
          </w:p>
        </w:tc>
        <w:tc>
          <w:tcPr>
            <w:tcW w:w="1400" w:type="dxa"/>
            <w:noWrap w:val="0"/>
            <w:vAlign w:val="center"/>
          </w:tcPr>
          <w:p w14:paraId="1783A33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45.3</w:t>
            </w:r>
          </w:p>
        </w:tc>
        <w:tc>
          <w:tcPr>
            <w:tcW w:w="1390" w:type="dxa"/>
            <w:noWrap w:val="0"/>
            <w:vAlign w:val="center"/>
          </w:tcPr>
          <w:p w14:paraId="1CEB613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55.4</w:t>
            </w:r>
          </w:p>
        </w:tc>
        <w:tc>
          <w:tcPr>
            <w:tcW w:w="1380" w:type="dxa"/>
            <w:noWrap w:val="0"/>
            <w:vAlign w:val="center"/>
          </w:tcPr>
          <w:p w14:paraId="7C5B784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38.6</w:t>
            </w:r>
          </w:p>
        </w:tc>
        <w:tc>
          <w:tcPr>
            <w:tcW w:w="1180" w:type="dxa"/>
            <w:noWrap w:val="0"/>
            <w:vAlign w:val="center"/>
          </w:tcPr>
          <w:p w14:paraId="61F6BCE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2518D1A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6.8</w:t>
            </w:r>
          </w:p>
        </w:tc>
      </w:tr>
      <w:tr w14:paraId="47352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4FEFD21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26</w:t>
            </w:r>
          </w:p>
        </w:tc>
        <w:tc>
          <w:tcPr>
            <w:tcW w:w="1253" w:type="dxa"/>
            <w:noWrap w:val="0"/>
            <w:vAlign w:val="center"/>
          </w:tcPr>
          <w:p w14:paraId="19C63F0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2023.12.14</w:t>
            </w:r>
          </w:p>
        </w:tc>
        <w:tc>
          <w:tcPr>
            <w:tcW w:w="1230" w:type="dxa"/>
            <w:noWrap w:val="0"/>
            <w:vAlign w:val="center"/>
          </w:tcPr>
          <w:p w14:paraId="335C78B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2023.12.15</w:t>
            </w:r>
          </w:p>
        </w:tc>
        <w:tc>
          <w:tcPr>
            <w:tcW w:w="1400" w:type="dxa"/>
            <w:noWrap w:val="0"/>
            <w:vAlign w:val="center"/>
          </w:tcPr>
          <w:p w14:paraId="204E560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45.2</w:t>
            </w:r>
          </w:p>
        </w:tc>
        <w:tc>
          <w:tcPr>
            <w:tcW w:w="1390" w:type="dxa"/>
            <w:noWrap w:val="0"/>
            <w:vAlign w:val="center"/>
          </w:tcPr>
          <w:p w14:paraId="6A56B39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55.4</w:t>
            </w:r>
          </w:p>
        </w:tc>
        <w:tc>
          <w:tcPr>
            <w:tcW w:w="1380" w:type="dxa"/>
            <w:noWrap w:val="0"/>
            <w:vAlign w:val="center"/>
          </w:tcPr>
          <w:p w14:paraId="7BE551F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38.9</w:t>
            </w:r>
          </w:p>
        </w:tc>
        <w:tc>
          <w:tcPr>
            <w:tcW w:w="1180" w:type="dxa"/>
            <w:noWrap w:val="0"/>
            <w:vAlign w:val="center"/>
          </w:tcPr>
          <w:p w14:paraId="09250B9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2.1</w:t>
            </w:r>
          </w:p>
        </w:tc>
        <w:tc>
          <w:tcPr>
            <w:tcW w:w="1230" w:type="dxa"/>
            <w:noWrap w:val="0"/>
            <w:vAlign w:val="center"/>
          </w:tcPr>
          <w:p w14:paraId="28B10E7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7.0</w:t>
            </w:r>
          </w:p>
        </w:tc>
      </w:tr>
      <w:tr w14:paraId="5F0F3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720B2E0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27</w:t>
            </w:r>
          </w:p>
        </w:tc>
        <w:tc>
          <w:tcPr>
            <w:tcW w:w="1253" w:type="dxa"/>
            <w:noWrap w:val="0"/>
            <w:vAlign w:val="center"/>
          </w:tcPr>
          <w:p w14:paraId="4380FBB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2024.1.2</w:t>
            </w:r>
          </w:p>
        </w:tc>
        <w:tc>
          <w:tcPr>
            <w:tcW w:w="1230" w:type="dxa"/>
            <w:noWrap w:val="0"/>
            <w:vAlign w:val="center"/>
          </w:tcPr>
          <w:p w14:paraId="1EDBCD4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2024.1.3</w:t>
            </w:r>
          </w:p>
        </w:tc>
        <w:tc>
          <w:tcPr>
            <w:tcW w:w="1400" w:type="dxa"/>
            <w:noWrap w:val="0"/>
            <w:vAlign w:val="center"/>
          </w:tcPr>
          <w:p w14:paraId="7A747EF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45.2</w:t>
            </w:r>
          </w:p>
        </w:tc>
        <w:tc>
          <w:tcPr>
            <w:tcW w:w="1390" w:type="dxa"/>
            <w:noWrap w:val="0"/>
            <w:vAlign w:val="center"/>
          </w:tcPr>
          <w:p w14:paraId="6A13297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55.2</w:t>
            </w:r>
          </w:p>
        </w:tc>
        <w:tc>
          <w:tcPr>
            <w:tcW w:w="1380" w:type="dxa"/>
            <w:noWrap w:val="0"/>
            <w:vAlign w:val="center"/>
          </w:tcPr>
          <w:p w14:paraId="25B0682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39.2</w:t>
            </w:r>
          </w:p>
        </w:tc>
        <w:tc>
          <w:tcPr>
            <w:tcW w:w="1180" w:type="dxa"/>
            <w:noWrap w:val="0"/>
            <w:vAlign w:val="center"/>
          </w:tcPr>
          <w:p w14:paraId="04A14244">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1ABCA67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1A7CF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74486FB1">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28</w:t>
            </w:r>
          </w:p>
        </w:tc>
        <w:tc>
          <w:tcPr>
            <w:tcW w:w="1253" w:type="dxa"/>
            <w:noWrap w:val="0"/>
            <w:vAlign w:val="center"/>
          </w:tcPr>
          <w:p w14:paraId="2436C11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2024.2.8</w:t>
            </w:r>
          </w:p>
        </w:tc>
        <w:tc>
          <w:tcPr>
            <w:tcW w:w="1230" w:type="dxa"/>
            <w:noWrap w:val="0"/>
            <w:vAlign w:val="center"/>
          </w:tcPr>
          <w:p w14:paraId="759FD7B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2024.2.9</w:t>
            </w:r>
          </w:p>
        </w:tc>
        <w:tc>
          <w:tcPr>
            <w:tcW w:w="1400" w:type="dxa"/>
            <w:noWrap w:val="0"/>
            <w:vAlign w:val="center"/>
          </w:tcPr>
          <w:p w14:paraId="4CC6A07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45.1</w:t>
            </w:r>
          </w:p>
        </w:tc>
        <w:tc>
          <w:tcPr>
            <w:tcW w:w="1390" w:type="dxa"/>
            <w:noWrap w:val="0"/>
            <w:vAlign w:val="center"/>
          </w:tcPr>
          <w:p w14:paraId="0F5F2A7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55.5</w:t>
            </w:r>
          </w:p>
        </w:tc>
        <w:tc>
          <w:tcPr>
            <w:tcW w:w="1380" w:type="dxa"/>
            <w:noWrap w:val="0"/>
            <w:vAlign w:val="center"/>
          </w:tcPr>
          <w:p w14:paraId="5C5EEBE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39.2</w:t>
            </w:r>
          </w:p>
        </w:tc>
        <w:tc>
          <w:tcPr>
            <w:tcW w:w="1180" w:type="dxa"/>
            <w:noWrap w:val="0"/>
            <w:vAlign w:val="center"/>
          </w:tcPr>
          <w:p w14:paraId="238DDC6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6569699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7.8</w:t>
            </w:r>
          </w:p>
        </w:tc>
      </w:tr>
      <w:tr w14:paraId="2B69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1282F28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29</w:t>
            </w:r>
          </w:p>
        </w:tc>
        <w:tc>
          <w:tcPr>
            <w:tcW w:w="1253" w:type="dxa"/>
            <w:noWrap w:val="0"/>
            <w:vAlign w:val="center"/>
          </w:tcPr>
          <w:p w14:paraId="77AE62E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2024.3.11</w:t>
            </w:r>
          </w:p>
        </w:tc>
        <w:tc>
          <w:tcPr>
            <w:tcW w:w="1230" w:type="dxa"/>
            <w:noWrap w:val="0"/>
            <w:vAlign w:val="center"/>
          </w:tcPr>
          <w:p w14:paraId="0F55297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2024.3.12</w:t>
            </w:r>
          </w:p>
        </w:tc>
        <w:tc>
          <w:tcPr>
            <w:tcW w:w="1400" w:type="dxa"/>
            <w:noWrap w:val="0"/>
            <w:vAlign w:val="center"/>
          </w:tcPr>
          <w:p w14:paraId="693F9E1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45.3</w:t>
            </w:r>
          </w:p>
        </w:tc>
        <w:tc>
          <w:tcPr>
            <w:tcW w:w="1390" w:type="dxa"/>
            <w:noWrap w:val="0"/>
            <w:vAlign w:val="center"/>
          </w:tcPr>
          <w:p w14:paraId="6461BDE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55.9</w:t>
            </w:r>
          </w:p>
        </w:tc>
        <w:tc>
          <w:tcPr>
            <w:tcW w:w="1380" w:type="dxa"/>
            <w:noWrap w:val="0"/>
            <w:vAlign w:val="center"/>
          </w:tcPr>
          <w:p w14:paraId="33E9E10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39.4</w:t>
            </w:r>
          </w:p>
        </w:tc>
        <w:tc>
          <w:tcPr>
            <w:tcW w:w="1180" w:type="dxa"/>
            <w:noWrap w:val="0"/>
            <w:vAlign w:val="center"/>
          </w:tcPr>
          <w:p w14:paraId="63F9B93F">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231EFC6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7.1</w:t>
            </w:r>
          </w:p>
        </w:tc>
      </w:tr>
      <w:tr w14:paraId="284A3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10B36DD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30</w:t>
            </w:r>
          </w:p>
        </w:tc>
        <w:tc>
          <w:tcPr>
            <w:tcW w:w="1253" w:type="dxa"/>
            <w:noWrap w:val="0"/>
            <w:vAlign w:val="center"/>
          </w:tcPr>
          <w:p w14:paraId="1968003A">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2024.3.28</w:t>
            </w:r>
          </w:p>
        </w:tc>
        <w:tc>
          <w:tcPr>
            <w:tcW w:w="1230" w:type="dxa"/>
            <w:noWrap w:val="0"/>
            <w:vAlign w:val="center"/>
          </w:tcPr>
          <w:p w14:paraId="3723296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2024.3.29</w:t>
            </w:r>
          </w:p>
        </w:tc>
        <w:tc>
          <w:tcPr>
            <w:tcW w:w="1400" w:type="dxa"/>
            <w:noWrap w:val="0"/>
            <w:vAlign w:val="center"/>
          </w:tcPr>
          <w:p w14:paraId="7372963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45.4</w:t>
            </w:r>
          </w:p>
        </w:tc>
        <w:tc>
          <w:tcPr>
            <w:tcW w:w="1390" w:type="dxa"/>
            <w:noWrap w:val="0"/>
            <w:vAlign w:val="center"/>
          </w:tcPr>
          <w:p w14:paraId="5B3687D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55.3</w:t>
            </w:r>
          </w:p>
        </w:tc>
        <w:tc>
          <w:tcPr>
            <w:tcW w:w="1380" w:type="dxa"/>
            <w:noWrap w:val="0"/>
            <w:vAlign w:val="center"/>
          </w:tcPr>
          <w:p w14:paraId="35E80A7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39.4</w:t>
            </w:r>
          </w:p>
        </w:tc>
        <w:tc>
          <w:tcPr>
            <w:tcW w:w="1180" w:type="dxa"/>
            <w:noWrap w:val="0"/>
            <w:vAlign w:val="center"/>
          </w:tcPr>
          <w:p w14:paraId="27E8ABE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1.9</w:t>
            </w:r>
          </w:p>
        </w:tc>
        <w:tc>
          <w:tcPr>
            <w:tcW w:w="1230" w:type="dxa"/>
            <w:noWrap w:val="0"/>
            <w:vAlign w:val="center"/>
          </w:tcPr>
          <w:p w14:paraId="51E27A1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70A8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5041895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31</w:t>
            </w:r>
          </w:p>
        </w:tc>
        <w:tc>
          <w:tcPr>
            <w:tcW w:w="1253" w:type="dxa"/>
            <w:noWrap w:val="0"/>
            <w:vAlign w:val="center"/>
          </w:tcPr>
          <w:p w14:paraId="35231B99">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2024.5.10</w:t>
            </w:r>
          </w:p>
        </w:tc>
        <w:tc>
          <w:tcPr>
            <w:tcW w:w="1230" w:type="dxa"/>
            <w:noWrap w:val="0"/>
            <w:vAlign w:val="center"/>
          </w:tcPr>
          <w:p w14:paraId="62513E8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2024.5.11</w:t>
            </w:r>
          </w:p>
        </w:tc>
        <w:tc>
          <w:tcPr>
            <w:tcW w:w="1400" w:type="dxa"/>
            <w:noWrap w:val="0"/>
            <w:vAlign w:val="center"/>
          </w:tcPr>
          <w:p w14:paraId="15C9F6B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45.6</w:t>
            </w:r>
          </w:p>
        </w:tc>
        <w:tc>
          <w:tcPr>
            <w:tcW w:w="1390" w:type="dxa"/>
            <w:noWrap w:val="0"/>
            <w:vAlign w:val="center"/>
          </w:tcPr>
          <w:p w14:paraId="58E7088C">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55.1</w:t>
            </w:r>
          </w:p>
        </w:tc>
        <w:tc>
          <w:tcPr>
            <w:tcW w:w="1380" w:type="dxa"/>
            <w:noWrap w:val="0"/>
            <w:vAlign w:val="center"/>
          </w:tcPr>
          <w:p w14:paraId="3236DE4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38.6</w:t>
            </w:r>
          </w:p>
        </w:tc>
        <w:tc>
          <w:tcPr>
            <w:tcW w:w="1180" w:type="dxa"/>
            <w:noWrap w:val="0"/>
            <w:vAlign w:val="center"/>
          </w:tcPr>
          <w:p w14:paraId="18492F1B">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2.1</w:t>
            </w:r>
          </w:p>
        </w:tc>
        <w:tc>
          <w:tcPr>
            <w:tcW w:w="1230" w:type="dxa"/>
            <w:noWrap w:val="0"/>
            <w:vAlign w:val="center"/>
          </w:tcPr>
          <w:p w14:paraId="76CB4BD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7.1</w:t>
            </w:r>
          </w:p>
        </w:tc>
      </w:tr>
      <w:tr w14:paraId="7F231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63" w:type="dxa"/>
            <w:noWrap w:val="0"/>
            <w:vAlign w:val="center"/>
          </w:tcPr>
          <w:p w14:paraId="3D19543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32</w:t>
            </w:r>
          </w:p>
        </w:tc>
        <w:tc>
          <w:tcPr>
            <w:tcW w:w="1253" w:type="dxa"/>
            <w:noWrap w:val="0"/>
            <w:vAlign w:val="center"/>
          </w:tcPr>
          <w:p w14:paraId="545D8217">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2024.5.22</w:t>
            </w:r>
          </w:p>
        </w:tc>
        <w:tc>
          <w:tcPr>
            <w:tcW w:w="1230" w:type="dxa"/>
            <w:noWrap w:val="0"/>
            <w:vAlign w:val="center"/>
          </w:tcPr>
          <w:p w14:paraId="081A1323">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lang w:val="en-US" w:eastAsia="zh-CN"/>
              </w:rPr>
              <w:t>2024.5.23</w:t>
            </w:r>
          </w:p>
        </w:tc>
        <w:tc>
          <w:tcPr>
            <w:tcW w:w="1400" w:type="dxa"/>
            <w:noWrap w:val="0"/>
            <w:vAlign w:val="center"/>
          </w:tcPr>
          <w:p w14:paraId="6566DAF0">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eastAsia="zh-CN"/>
              </w:rPr>
            </w:pPr>
            <w:r>
              <w:rPr>
                <w:rFonts w:hint="eastAsia" w:ascii="方正仿宋_GB2312" w:hAnsi="方正仿宋_GB2312" w:eastAsia="方正仿宋_GB2312" w:cs="方正仿宋_GB2312"/>
                <w:b w:val="0"/>
                <w:bCs w:val="0"/>
                <w:sz w:val="22"/>
                <w:szCs w:val="22"/>
                <w:lang w:val="en-US" w:eastAsia="zh-CN"/>
              </w:rPr>
              <w:t>45.3</w:t>
            </w:r>
          </w:p>
        </w:tc>
        <w:tc>
          <w:tcPr>
            <w:tcW w:w="1390" w:type="dxa"/>
            <w:noWrap w:val="0"/>
            <w:vAlign w:val="center"/>
          </w:tcPr>
          <w:p w14:paraId="6AEAAC22">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55.2</w:t>
            </w:r>
          </w:p>
        </w:tc>
        <w:tc>
          <w:tcPr>
            <w:tcW w:w="1380" w:type="dxa"/>
            <w:noWrap w:val="0"/>
            <w:vAlign w:val="center"/>
          </w:tcPr>
          <w:p w14:paraId="247F09A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lang w:val="en-US"/>
              </w:rPr>
            </w:pPr>
            <w:r>
              <w:rPr>
                <w:rFonts w:hint="eastAsia" w:ascii="方正仿宋_GB2312" w:hAnsi="方正仿宋_GB2312" w:eastAsia="方正仿宋_GB2312" w:cs="方正仿宋_GB2312"/>
                <w:b w:val="0"/>
                <w:bCs w:val="0"/>
                <w:sz w:val="22"/>
                <w:szCs w:val="22"/>
                <w:vertAlign w:val="baseline"/>
                <w:lang w:val="en-US" w:eastAsia="zh-CN"/>
              </w:rPr>
              <w:t>39.1</w:t>
            </w:r>
          </w:p>
        </w:tc>
        <w:tc>
          <w:tcPr>
            <w:tcW w:w="1180" w:type="dxa"/>
            <w:noWrap w:val="0"/>
            <w:vAlign w:val="center"/>
          </w:tcPr>
          <w:p w14:paraId="5EBF210D">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2.0</w:t>
            </w:r>
          </w:p>
        </w:tc>
        <w:tc>
          <w:tcPr>
            <w:tcW w:w="1230" w:type="dxa"/>
            <w:noWrap w:val="0"/>
            <w:vAlign w:val="center"/>
          </w:tcPr>
          <w:p w14:paraId="47569CBE">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rPr>
            </w:pPr>
            <w:r>
              <w:rPr>
                <w:rFonts w:hint="eastAsia" w:ascii="方正仿宋_GB2312" w:hAnsi="方正仿宋_GB2312" w:eastAsia="方正仿宋_GB2312" w:cs="方正仿宋_GB2312"/>
                <w:b w:val="0"/>
                <w:bCs w:val="0"/>
                <w:sz w:val="22"/>
                <w:szCs w:val="22"/>
                <w:vertAlign w:val="baseline"/>
                <w:lang w:val="en-US" w:eastAsia="zh-CN"/>
              </w:rPr>
              <w:t>6.9</w:t>
            </w:r>
          </w:p>
        </w:tc>
      </w:tr>
      <w:tr w14:paraId="41DD9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46" w:type="dxa"/>
            <w:gridSpan w:val="3"/>
            <w:noWrap w:val="0"/>
            <w:vAlign w:val="center"/>
          </w:tcPr>
          <w:p w14:paraId="2FA92BA5">
            <w:pPr>
              <w:snapToGrid w:val="0"/>
              <w:ind w:left="0" w:leftChars="0" w:right="0" w:rightChars="0" w:firstLine="0" w:firstLineChars="0"/>
              <w:jc w:val="center"/>
              <w:rPr>
                <w:rFonts w:hint="eastAsia" w:ascii="方正仿宋_GB2312" w:hAnsi="方正仿宋_GB2312" w:eastAsia="方正仿宋_GB2312" w:cs="方正仿宋_GB2312"/>
                <w:sz w:val="20"/>
                <w:szCs w:val="22"/>
                <w:lang w:val="en-US" w:eastAsia="zh-CN"/>
              </w:rPr>
            </w:pPr>
            <w:r>
              <w:rPr>
                <w:rFonts w:hint="eastAsia" w:ascii="方正仿宋_GB2312" w:hAnsi="方正仿宋_GB2312" w:eastAsia="方正仿宋_GB2312" w:cs="方正仿宋_GB2312"/>
                <w:sz w:val="20"/>
                <w:szCs w:val="22"/>
                <w:lang w:val="en-US" w:eastAsia="zh-CN"/>
              </w:rPr>
              <w:t>范围</w:t>
            </w:r>
          </w:p>
        </w:tc>
        <w:tc>
          <w:tcPr>
            <w:tcW w:w="1400" w:type="dxa"/>
            <w:noWrap w:val="0"/>
            <w:vAlign w:val="center"/>
          </w:tcPr>
          <w:p w14:paraId="4E08076C">
            <w:pPr>
              <w:snapToGrid w:val="0"/>
              <w:ind w:left="0" w:leftChars="0" w:right="0" w:rightChars="0" w:firstLine="0" w:firstLineChars="0"/>
              <w:jc w:val="center"/>
              <w:rPr>
                <w:rFonts w:hint="eastAsia" w:ascii="方正仿宋_GB2312" w:hAnsi="方正仿宋_GB2312" w:eastAsia="方正仿宋_GB2312" w:cs="方正仿宋_GB2312"/>
                <w:sz w:val="20"/>
                <w:szCs w:val="22"/>
                <w:lang w:val="en-US" w:eastAsia="zh-CN"/>
              </w:rPr>
            </w:pPr>
            <w:r>
              <w:rPr>
                <w:rFonts w:hint="eastAsia" w:ascii="方正仿宋_GB2312" w:hAnsi="方正仿宋_GB2312" w:eastAsia="方正仿宋_GB2312" w:cs="方正仿宋_GB2312"/>
                <w:b w:val="0"/>
                <w:bCs w:val="0"/>
                <w:sz w:val="22"/>
                <w:szCs w:val="22"/>
                <w:vertAlign w:val="baseline"/>
                <w:lang w:val="en-US" w:eastAsia="zh-CN"/>
              </w:rPr>
              <w:t>44.9</w:t>
            </w:r>
            <w:r>
              <w:rPr>
                <w:rFonts w:hint="eastAsia" w:ascii="仿宋_GB2312" w:hAnsi="宋体" w:eastAsia="仿宋_GB2312"/>
                <w:color w:val="000000"/>
                <w:sz w:val="32"/>
                <w:szCs w:val="32"/>
                <w:highlight w:val="none"/>
              </w:rPr>
              <w:t>～</w:t>
            </w:r>
            <w:r>
              <w:rPr>
                <w:rFonts w:hint="eastAsia" w:ascii="方正仿宋_GB2312" w:hAnsi="方正仿宋_GB2312" w:eastAsia="方正仿宋_GB2312" w:cs="方正仿宋_GB2312"/>
                <w:b w:val="0"/>
                <w:bCs w:val="0"/>
                <w:sz w:val="22"/>
                <w:szCs w:val="22"/>
                <w:lang w:val="en-US" w:eastAsia="zh-CN"/>
              </w:rPr>
              <w:t>45.6</w:t>
            </w:r>
          </w:p>
        </w:tc>
        <w:tc>
          <w:tcPr>
            <w:tcW w:w="1390" w:type="dxa"/>
            <w:noWrap w:val="0"/>
            <w:vAlign w:val="center"/>
          </w:tcPr>
          <w:p w14:paraId="2A4ECEC8">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54.9</w:t>
            </w:r>
            <w:r>
              <w:rPr>
                <w:rFonts w:hint="eastAsia" w:ascii="仿宋_GB2312" w:hAnsi="宋体" w:eastAsia="仿宋_GB2312"/>
                <w:color w:val="000000"/>
                <w:sz w:val="32"/>
                <w:szCs w:val="32"/>
                <w:highlight w:val="none"/>
              </w:rPr>
              <w:t>～</w:t>
            </w:r>
            <w:r>
              <w:rPr>
                <w:rFonts w:hint="eastAsia" w:ascii="方正仿宋_GB2312" w:hAnsi="方正仿宋_GB2312" w:eastAsia="方正仿宋_GB2312" w:cs="方正仿宋_GB2312"/>
                <w:b w:val="0"/>
                <w:bCs w:val="0"/>
                <w:sz w:val="22"/>
                <w:szCs w:val="22"/>
                <w:vertAlign w:val="baseline"/>
                <w:lang w:val="en-US" w:eastAsia="zh-CN"/>
              </w:rPr>
              <w:t>55.9</w:t>
            </w:r>
          </w:p>
        </w:tc>
        <w:tc>
          <w:tcPr>
            <w:tcW w:w="1380" w:type="dxa"/>
            <w:noWrap w:val="0"/>
            <w:vAlign w:val="center"/>
          </w:tcPr>
          <w:p w14:paraId="26A11E76">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38.6</w:t>
            </w:r>
            <w:r>
              <w:rPr>
                <w:rFonts w:hint="eastAsia" w:ascii="仿宋_GB2312" w:hAnsi="宋体" w:eastAsia="仿宋_GB2312"/>
                <w:color w:val="000000"/>
                <w:sz w:val="32"/>
                <w:szCs w:val="32"/>
                <w:highlight w:val="none"/>
              </w:rPr>
              <w:t>～</w:t>
            </w:r>
            <w:r>
              <w:rPr>
                <w:rFonts w:hint="eastAsia" w:ascii="方正仿宋_GB2312" w:hAnsi="方正仿宋_GB2312" w:eastAsia="方正仿宋_GB2312" w:cs="方正仿宋_GB2312"/>
                <w:b w:val="0"/>
                <w:bCs w:val="0"/>
                <w:sz w:val="22"/>
                <w:szCs w:val="22"/>
                <w:vertAlign w:val="baseline"/>
                <w:lang w:val="en-US" w:eastAsia="zh-CN"/>
              </w:rPr>
              <w:t>39.6</w:t>
            </w:r>
          </w:p>
        </w:tc>
        <w:tc>
          <w:tcPr>
            <w:tcW w:w="1180" w:type="dxa"/>
            <w:noWrap w:val="0"/>
            <w:vAlign w:val="center"/>
          </w:tcPr>
          <w:p w14:paraId="10163A77">
            <w:pPr>
              <w:snapToGrid w:val="0"/>
              <w:ind w:left="0" w:leftChars="0" w:right="0" w:rightChars="0" w:firstLine="0" w:firstLineChars="0"/>
              <w:jc w:val="center"/>
              <w:rPr>
                <w:rFonts w:hint="default"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1.9</w:t>
            </w:r>
            <w:r>
              <w:rPr>
                <w:rFonts w:hint="eastAsia" w:ascii="仿宋_GB2312" w:hAnsi="宋体" w:eastAsia="仿宋_GB2312"/>
                <w:color w:val="000000"/>
                <w:sz w:val="32"/>
                <w:szCs w:val="32"/>
                <w:highlight w:val="none"/>
              </w:rPr>
              <w:t>～</w:t>
            </w:r>
            <w:r>
              <w:rPr>
                <w:rFonts w:hint="eastAsia" w:ascii="方正仿宋_GB2312" w:hAnsi="方正仿宋_GB2312" w:eastAsia="方正仿宋_GB2312" w:cs="方正仿宋_GB2312"/>
                <w:b w:val="0"/>
                <w:bCs w:val="0"/>
                <w:sz w:val="22"/>
                <w:szCs w:val="22"/>
                <w:vertAlign w:val="baseline"/>
                <w:lang w:val="en-US" w:eastAsia="zh-CN"/>
              </w:rPr>
              <w:t>2.1</w:t>
            </w:r>
          </w:p>
        </w:tc>
        <w:tc>
          <w:tcPr>
            <w:tcW w:w="1230" w:type="dxa"/>
            <w:noWrap w:val="0"/>
            <w:vAlign w:val="center"/>
          </w:tcPr>
          <w:p w14:paraId="3CF7FA45">
            <w:pPr>
              <w:snapToGrid w:val="0"/>
              <w:ind w:left="0" w:leftChars="0" w:right="0" w:rightChars="0" w:firstLine="0" w:firstLineChars="0"/>
              <w:jc w:val="center"/>
              <w:rPr>
                <w:rFonts w:hint="eastAsia" w:ascii="方正仿宋_GB2312" w:hAnsi="方正仿宋_GB2312" w:eastAsia="方正仿宋_GB2312" w:cs="方正仿宋_GB2312"/>
                <w:b w:val="0"/>
                <w:bCs w:val="0"/>
                <w:sz w:val="22"/>
                <w:szCs w:val="22"/>
                <w:vertAlign w:val="baseline"/>
                <w:lang w:val="en-US" w:eastAsia="zh-CN"/>
              </w:rPr>
            </w:pPr>
            <w:r>
              <w:rPr>
                <w:rFonts w:hint="eastAsia" w:ascii="方正仿宋_GB2312" w:hAnsi="方正仿宋_GB2312" w:eastAsia="方正仿宋_GB2312" w:cs="方正仿宋_GB2312"/>
                <w:b w:val="0"/>
                <w:bCs w:val="0"/>
                <w:sz w:val="22"/>
                <w:szCs w:val="22"/>
                <w:vertAlign w:val="baseline"/>
                <w:lang w:val="en-US" w:eastAsia="zh-CN"/>
              </w:rPr>
              <w:t>6.8</w:t>
            </w:r>
            <w:r>
              <w:rPr>
                <w:rFonts w:hint="eastAsia" w:ascii="仿宋_GB2312" w:hAnsi="宋体" w:eastAsia="仿宋_GB2312"/>
                <w:color w:val="000000"/>
                <w:sz w:val="32"/>
                <w:szCs w:val="32"/>
                <w:highlight w:val="none"/>
              </w:rPr>
              <w:t>～</w:t>
            </w:r>
            <w:r>
              <w:rPr>
                <w:rFonts w:hint="eastAsia" w:ascii="方正仿宋_GB2312" w:hAnsi="方正仿宋_GB2312" w:eastAsia="方正仿宋_GB2312" w:cs="方正仿宋_GB2312"/>
                <w:b w:val="0"/>
                <w:bCs w:val="0"/>
                <w:sz w:val="22"/>
                <w:szCs w:val="22"/>
                <w:vertAlign w:val="baseline"/>
                <w:lang w:val="en-US" w:eastAsia="zh-CN"/>
              </w:rPr>
              <w:t>7.1</w:t>
            </w:r>
          </w:p>
        </w:tc>
      </w:tr>
    </w:tbl>
    <w:p w14:paraId="0177678C">
      <w:pPr>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（1）微量元素含量（以锌+铁+锰计）</w:t>
      </w:r>
    </w:p>
    <w:p w14:paraId="32BFDC13">
      <w:pPr>
        <w:ind w:firstLine="640" w:firstLineChars="200"/>
        <w:rPr>
          <w:rFonts w:hint="eastAsia"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rPr>
        <w:t>微量元素≥100g/L（锌 + 铁 + 锰计）且含至少一种达标元素，保障作物基础营养供给，匹配水溶肥高效补肥场景。《NY/ 1428-2010 微量元素水溶肥料》中规定了微量元素含量≥100g/L。由表1可知，实际样品微量元素含量</w:t>
      </w:r>
      <w:r>
        <w:rPr>
          <w:rFonts w:hint="eastAsia" w:ascii="仿宋_GB2312" w:hAnsi="宋体" w:eastAsia="仿宋_GB2312" w:cs="Times New Roman"/>
          <w:color w:val="000000"/>
          <w:sz w:val="32"/>
          <w:szCs w:val="32"/>
          <w:lang w:eastAsia="zh-CN"/>
        </w:rPr>
        <w:t>（锌+锰计）</w:t>
      </w:r>
      <w:r>
        <w:rPr>
          <w:rFonts w:hint="eastAsia" w:ascii="仿宋_GB2312" w:hAnsi="宋体" w:eastAsia="仿宋_GB2312" w:cs="Times New Roman"/>
          <w:color w:val="000000"/>
          <w:sz w:val="32"/>
          <w:szCs w:val="32"/>
        </w:rPr>
        <w:t>最高为</w:t>
      </w:r>
      <w:r>
        <w:rPr>
          <w:rFonts w:hint="eastAsia" w:ascii="仿宋_GB2312" w:hAnsi="宋体" w:eastAsia="仿宋_GB2312" w:cs="Times New Roman"/>
          <w:color w:val="000000"/>
          <w:sz w:val="32"/>
          <w:szCs w:val="32"/>
          <w:lang w:val="en-US" w:eastAsia="zh-CN"/>
        </w:rPr>
        <w:t>101.2</w:t>
      </w:r>
      <w:r>
        <w:rPr>
          <w:rFonts w:hint="eastAsia" w:ascii="仿宋_GB2312" w:hAnsi="宋体" w:eastAsia="仿宋_GB2312" w:cs="Times New Roman"/>
          <w:color w:val="000000"/>
          <w:sz w:val="32"/>
          <w:szCs w:val="32"/>
        </w:rPr>
        <w:t xml:space="preserve"> g/</w:t>
      </w:r>
      <w:r>
        <w:rPr>
          <w:rFonts w:hint="eastAsia" w:ascii="仿宋_GB2312" w:hAnsi="宋体" w:eastAsia="仿宋_GB2312" w:cs="Times New Roman"/>
          <w:color w:val="000000"/>
          <w:sz w:val="32"/>
          <w:szCs w:val="32"/>
          <w:lang w:val="en-US" w:eastAsia="zh-CN"/>
        </w:rPr>
        <w:t>L</w:t>
      </w:r>
      <w:r>
        <w:rPr>
          <w:rFonts w:hint="eastAsia" w:ascii="仿宋_GB2312" w:hAnsi="宋体" w:eastAsia="仿宋_GB2312" w:cs="Times New Roman"/>
          <w:color w:val="000000"/>
          <w:sz w:val="32"/>
          <w:szCs w:val="32"/>
        </w:rPr>
        <w:t>，最低为</w:t>
      </w:r>
      <w:r>
        <w:rPr>
          <w:rFonts w:hint="eastAsia" w:ascii="仿宋_GB2312" w:hAnsi="宋体" w:eastAsia="仿宋_GB2312" w:cs="Times New Roman"/>
          <w:color w:val="000000"/>
          <w:sz w:val="32"/>
          <w:szCs w:val="32"/>
          <w:lang w:val="en-US" w:eastAsia="zh-CN"/>
        </w:rPr>
        <w:t>100</w:t>
      </w:r>
      <w:r>
        <w:rPr>
          <w:rFonts w:hint="eastAsia" w:ascii="仿宋_GB2312" w:hAnsi="宋体" w:eastAsia="仿宋_GB2312" w:cs="Times New Roman"/>
          <w:color w:val="000000"/>
          <w:sz w:val="32"/>
          <w:szCs w:val="32"/>
        </w:rPr>
        <w:t>g/</w:t>
      </w:r>
      <w:r>
        <w:rPr>
          <w:rFonts w:hint="eastAsia" w:ascii="仿宋_GB2312" w:hAnsi="宋体" w:eastAsia="仿宋_GB2312" w:cs="Times New Roman"/>
          <w:color w:val="000000"/>
          <w:sz w:val="32"/>
          <w:szCs w:val="32"/>
          <w:lang w:val="en-US" w:eastAsia="zh-CN"/>
        </w:rPr>
        <w:t>L</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val="en-US" w:eastAsia="zh-CN"/>
        </w:rPr>
        <w:t>结合产品实际检测结果，将指标定为</w:t>
      </w:r>
      <w:r>
        <w:rPr>
          <w:rFonts w:hint="eastAsia" w:ascii="仿宋_GB2312" w:hAnsi="宋体" w:eastAsia="仿宋_GB2312" w:cs="Times New Roman"/>
          <w:color w:val="000000"/>
          <w:sz w:val="32"/>
          <w:szCs w:val="32"/>
        </w:rPr>
        <w:t>≥100g/L</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100</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eastAsia="zh-CN"/>
        </w:rPr>
        <w:t>的</w:t>
      </w:r>
      <w:r>
        <w:rPr>
          <w:rFonts w:hint="eastAsia" w:ascii="仿宋_GB2312" w:hAnsi="宋体" w:eastAsia="仿宋_GB2312" w:cs="Times New Roman"/>
          <w:color w:val="000000"/>
          <w:sz w:val="32"/>
          <w:szCs w:val="32"/>
          <w:lang w:val="en-US" w:eastAsia="zh-CN"/>
        </w:rPr>
        <w:t>产品都符合要求。</w:t>
      </w:r>
    </w:p>
    <w:p w14:paraId="415F20AF">
      <w:pPr>
        <w:ind w:firstLine="640" w:firstLineChars="200"/>
        <w:rPr>
          <w:rFonts w:hint="default" w:ascii="仿宋_GB2312" w:hAnsi="宋体" w:eastAsia="仿宋_GB2312" w:cs="Times New Roman"/>
          <w:color w:val="000000"/>
          <w:sz w:val="32"/>
          <w:szCs w:val="32"/>
          <w:lang w:val="en-US" w:eastAsia="zh-CN"/>
        </w:rPr>
      </w:pP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val="en-US" w:eastAsia="zh-CN"/>
        </w:rPr>
        <w:t>2</w:t>
      </w:r>
      <w:r>
        <w:rPr>
          <w:rFonts w:hint="eastAsia" w:ascii="仿宋_GB2312" w:hAnsi="宋体" w:eastAsia="仿宋_GB2312" w:cs="Times New Roman"/>
          <w:color w:val="000000"/>
          <w:sz w:val="32"/>
          <w:szCs w:val="32"/>
        </w:rPr>
        <w:t>）硅含量</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g/L</w:t>
      </w:r>
      <w:r>
        <w:rPr>
          <w:rFonts w:hint="eastAsia" w:ascii="仿宋_GB2312" w:hAnsi="宋体" w:eastAsia="仿宋_GB2312" w:cs="Times New Roman"/>
          <w:color w:val="000000"/>
          <w:sz w:val="32"/>
          <w:szCs w:val="32"/>
          <w:lang w:eastAsia="zh-CN"/>
        </w:rPr>
        <w:t>）</w:t>
      </w:r>
    </w:p>
    <w:p w14:paraId="271DDCC8">
      <w:pPr>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针对性强化“阻镉”能力，硅可增强作物抗镉吸收，常规肥不聚焦镉污染治理</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硅≥35.0g/L 可增强作物抗镉能力，助力“阻镉” 效果；由表1可知，实际样品</w:t>
      </w:r>
      <w:r>
        <w:rPr>
          <w:rFonts w:hint="eastAsia" w:ascii="仿宋_GB2312" w:hAnsi="宋体" w:eastAsia="仿宋_GB2312" w:cs="Times New Roman"/>
          <w:color w:val="000000"/>
          <w:sz w:val="32"/>
          <w:szCs w:val="32"/>
          <w:lang w:eastAsia="zh-CN"/>
        </w:rPr>
        <w:t>硅含量（g/L）</w:t>
      </w:r>
      <w:r>
        <w:rPr>
          <w:rFonts w:hint="eastAsia" w:ascii="仿宋_GB2312" w:hAnsi="宋体" w:eastAsia="仿宋_GB2312" w:cs="Times New Roman"/>
          <w:color w:val="000000"/>
          <w:sz w:val="32"/>
          <w:szCs w:val="32"/>
        </w:rPr>
        <w:t>最低为38.6</w:t>
      </w:r>
      <w:r>
        <w:rPr>
          <w:rFonts w:hint="eastAsia" w:ascii="仿宋_GB2312" w:hAnsi="宋体" w:eastAsia="仿宋_GB2312" w:cs="Times New Roman"/>
          <w:color w:val="000000"/>
          <w:sz w:val="32"/>
          <w:szCs w:val="32"/>
          <w:lang w:eastAsia="zh-CN"/>
        </w:rPr>
        <w:t>g/L，</w:t>
      </w:r>
      <w:r>
        <w:rPr>
          <w:rFonts w:hint="eastAsia" w:ascii="仿宋_GB2312" w:hAnsi="宋体" w:eastAsia="仿宋_GB2312" w:cs="Times New Roman"/>
          <w:color w:val="000000"/>
          <w:sz w:val="32"/>
          <w:szCs w:val="32"/>
        </w:rPr>
        <w:t>最高为39.6</w:t>
      </w:r>
      <w:r>
        <w:rPr>
          <w:rFonts w:hint="eastAsia" w:ascii="仿宋_GB2312" w:hAnsi="宋体" w:eastAsia="仿宋_GB2312" w:cs="Times New Roman"/>
          <w:color w:val="000000"/>
          <w:sz w:val="32"/>
          <w:szCs w:val="32"/>
          <w:lang w:eastAsia="zh-CN"/>
        </w:rPr>
        <w:t>g/L，</w:t>
      </w:r>
      <w:r>
        <w:rPr>
          <w:rFonts w:hint="eastAsia" w:ascii="仿宋_GB2312" w:hAnsi="宋体" w:eastAsia="仿宋_GB2312" w:cs="Times New Roman"/>
          <w:color w:val="000000"/>
          <w:sz w:val="32"/>
          <w:szCs w:val="32"/>
          <w:lang w:val="en-US" w:eastAsia="zh-CN"/>
        </w:rPr>
        <w:t>结合产品实际检测结果，将指标定为</w:t>
      </w:r>
      <w:r>
        <w:rPr>
          <w:rFonts w:hint="eastAsia" w:ascii="仿宋_GB2312" w:hAnsi="宋体" w:eastAsia="仿宋_GB2312" w:cs="Times New Roman"/>
          <w:color w:val="000000"/>
          <w:sz w:val="32"/>
          <w:szCs w:val="32"/>
        </w:rPr>
        <w:t>≥3</w:t>
      </w:r>
      <w:r>
        <w:rPr>
          <w:rFonts w:hint="eastAsia" w:ascii="仿宋_GB2312" w:hAnsi="宋体" w:eastAsia="仿宋_GB2312" w:cs="Times New Roman"/>
          <w:color w:val="000000"/>
          <w:sz w:val="32"/>
          <w:szCs w:val="32"/>
          <w:lang w:val="en-US" w:eastAsia="zh-CN"/>
        </w:rPr>
        <w:t>5</w:t>
      </w:r>
      <w:r>
        <w:rPr>
          <w:rFonts w:hint="eastAsia" w:ascii="仿宋_GB2312" w:hAnsi="宋体" w:eastAsia="仿宋_GB2312" w:cs="Times New Roman"/>
          <w:color w:val="000000"/>
          <w:sz w:val="32"/>
          <w:szCs w:val="32"/>
          <w:lang w:eastAsia="zh-CN"/>
        </w:rPr>
        <w:t>g/L，</w:t>
      </w:r>
      <w:r>
        <w:rPr>
          <w:rFonts w:hint="eastAsia" w:ascii="仿宋_GB2312" w:hAnsi="宋体" w:eastAsia="仿宋_GB2312" w:cs="Times New Roman"/>
          <w:color w:val="000000"/>
          <w:sz w:val="32"/>
          <w:szCs w:val="32"/>
          <w:lang w:val="en-US" w:eastAsia="zh-CN"/>
        </w:rPr>
        <w:t>100</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eastAsia="zh-CN"/>
        </w:rPr>
        <w:t>的</w:t>
      </w:r>
      <w:r>
        <w:rPr>
          <w:rFonts w:hint="eastAsia" w:ascii="仿宋_GB2312" w:hAnsi="宋体" w:eastAsia="仿宋_GB2312" w:cs="Times New Roman"/>
          <w:color w:val="000000"/>
          <w:sz w:val="32"/>
          <w:szCs w:val="32"/>
          <w:lang w:val="en-US" w:eastAsia="zh-CN"/>
        </w:rPr>
        <w:t>产品都符合要求</w:t>
      </w:r>
      <w:r>
        <w:rPr>
          <w:rFonts w:hint="eastAsia" w:ascii="仿宋_GB2312" w:hAnsi="宋体" w:eastAsia="仿宋_GB2312" w:cs="Times New Roman"/>
          <w:color w:val="000000"/>
          <w:sz w:val="32"/>
          <w:szCs w:val="32"/>
        </w:rPr>
        <w:t>。</w:t>
      </w:r>
    </w:p>
    <w:p w14:paraId="754E8D49">
      <w:pPr>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3</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硒含量</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g/L</w:t>
      </w:r>
      <w:r>
        <w:rPr>
          <w:rFonts w:hint="eastAsia" w:ascii="仿宋_GB2312" w:hAnsi="宋体" w:eastAsia="仿宋_GB2312" w:cs="Times New Roman"/>
          <w:color w:val="000000"/>
          <w:sz w:val="32"/>
          <w:szCs w:val="32"/>
          <w:lang w:eastAsia="zh-CN"/>
        </w:rPr>
        <w:t>）</w:t>
      </w:r>
    </w:p>
    <w:p w14:paraId="21F853AC">
      <w:pPr>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硒≥2.0g/L是“富硒”关键，满足作物硒累积需求；由表1可知，实际样品</w:t>
      </w:r>
      <w:r>
        <w:rPr>
          <w:rFonts w:hint="eastAsia" w:ascii="仿宋_GB2312" w:hAnsi="宋体" w:eastAsia="仿宋_GB2312" w:cs="Times New Roman"/>
          <w:color w:val="000000"/>
          <w:sz w:val="32"/>
          <w:szCs w:val="32"/>
          <w:lang w:eastAsia="zh-CN"/>
        </w:rPr>
        <w:t>硅含量（g/L）</w:t>
      </w:r>
      <w:r>
        <w:rPr>
          <w:rFonts w:hint="eastAsia" w:ascii="仿宋_GB2312" w:hAnsi="宋体" w:eastAsia="仿宋_GB2312" w:cs="Times New Roman"/>
          <w:color w:val="000000"/>
          <w:sz w:val="32"/>
          <w:szCs w:val="32"/>
        </w:rPr>
        <w:t>最低为</w:t>
      </w:r>
      <w:r>
        <w:rPr>
          <w:rFonts w:hint="eastAsia" w:ascii="仿宋_GB2312" w:hAnsi="宋体" w:eastAsia="仿宋_GB2312" w:cs="Times New Roman"/>
          <w:color w:val="000000"/>
          <w:sz w:val="32"/>
          <w:szCs w:val="32"/>
          <w:lang w:val="en-US" w:eastAsia="zh-CN"/>
        </w:rPr>
        <w:t>1.9</w:t>
      </w:r>
      <w:r>
        <w:rPr>
          <w:rFonts w:hint="eastAsia" w:ascii="仿宋_GB2312" w:hAnsi="宋体" w:eastAsia="仿宋_GB2312" w:cs="Times New Roman"/>
          <w:color w:val="000000"/>
          <w:sz w:val="32"/>
          <w:szCs w:val="32"/>
          <w:lang w:eastAsia="zh-CN"/>
        </w:rPr>
        <w:t>g/L，</w:t>
      </w:r>
      <w:r>
        <w:rPr>
          <w:rFonts w:hint="eastAsia" w:ascii="仿宋_GB2312" w:hAnsi="宋体" w:eastAsia="仿宋_GB2312" w:cs="Times New Roman"/>
          <w:color w:val="000000"/>
          <w:sz w:val="32"/>
          <w:szCs w:val="32"/>
        </w:rPr>
        <w:t>最高为</w:t>
      </w:r>
      <w:r>
        <w:rPr>
          <w:rFonts w:hint="eastAsia" w:ascii="仿宋_GB2312" w:hAnsi="宋体" w:eastAsia="仿宋_GB2312" w:cs="Times New Roman"/>
          <w:color w:val="000000"/>
          <w:sz w:val="32"/>
          <w:szCs w:val="32"/>
          <w:lang w:val="en-US" w:eastAsia="zh-CN"/>
        </w:rPr>
        <w:t>2.1</w:t>
      </w:r>
      <w:r>
        <w:rPr>
          <w:rFonts w:hint="eastAsia" w:ascii="仿宋_GB2312" w:hAnsi="宋体" w:eastAsia="仿宋_GB2312" w:cs="Times New Roman"/>
          <w:color w:val="000000"/>
          <w:sz w:val="32"/>
          <w:szCs w:val="32"/>
          <w:lang w:eastAsia="zh-CN"/>
        </w:rPr>
        <w:t>g/L，</w:t>
      </w:r>
      <w:r>
        <w:rPr>
          <w:rFonts w:hint="eastAsia" w:ascii="仿宋_GB2312" w:hAnsi="宋体" w:eastAsia="仿宋_GB2312" w:cs="Times New Roman"/>
          <w:color w:val="000000"/>
          <w:sz w:val="32"/>
          <w:szCs w:val="32"/>
          <w:lang w:val="en-US" w:eastAsia="zh-CN"/>
        </w:rPr>
        <w:t>结合产品实际检测结果，将指标定为</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val="en-US" w:eastAsia="zh-CN"/>
        </w:rPr>
        <w:t>2</w:t>
      </w:r>
      <w:r>
        <w:rPr>
          <w:rFonts w:hint="eastAsia" w:ascii="仿宋_GB2312" w:hAnsi="宋体" w:eastAsia="仿宋_GB2312" w:cs="Times New Roman"/>
          <w:color w:val="000000"/>
          <w:sz w:val="32"/>
          <w:szCs w:val="32"/>
          <w:lang w:eastAsia="zh-CN"/>
        </w:rPr>
        <w:t>g/L，</w:t>
      </w:r>
      <w:r>
        <w:rPr>
          <w:rFonts w:hint="eastAsia" w:ascii="仿宋_GB2312" w:hAnsi="宋体" w:eastAsia="仿宋_GB2312" w:cs="Times New Roman"/>
          <w:color w:val="000000"/>
          <w:sz w:val="32"/>
          <w:szCs w:val="32"/>
          <w:lang w:val="en-US" w:eastAsia="zh-CN"/>
        </w:rPr>
        <w:t>56.3</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eastAsia="zh-CN"/>
        </w:rPr>
        <w:t>的</w:t>
      </w:r>
      <w:r>
        <w:rPr>
          <w:rFonts w:hint="eastAsia" w:ascii="仿宋_GB2312" w:hAnsi="宋体" w:eastAsia="仿宋_GB2312" w:cs="Times New Roman"/>
          <w:color w:val="000000"/>
          <w:sz w:val="32"/>
          <w:szCs w:val="32"/>
          <w:lang w:val="en-US" w:eastAsia="zh-CN"/>
        </w:rPr>
        <w:t>产品都符合要求，</w:t>
      </w:r>
      <w:r>
        <w:rPr>
          <w:rFonts w:hint="eastAsia" w:ascii="仿宋_GB2312" w:hAnsi="宋体" w:eastAsia="仿宋_GB2312" w:cs="Times New Roman"/>
          <w:color w:val="000000"/>
          <w:sz w:val="32"/>
          <w:szCs w:val="32"/>
        </w:rPr>
        <w:t>具体分析如下：</w:t>
      </w:r>
    </w:p>
    <w:p w14:paraId="67FC8E1D">
      <w:pPr>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eastAsia="zh-CN"/>
        </w:rPr>
        <w:t>硅含量（g/L）</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val="en-US" w:eastAsia="zh-CN"/>
        </w:rPr>
        <w:t>2</w:t>
      </w:r>
      <w:r>
        <w:rPr>
          <w:rFonts w:hint="eastAsia" w:ascii="仿宋_GB2312" w:hAnsi="宋体" w:eastAsia="仿宋_GB2312" w:cs="Times New Roman"/>
          <w:color w:val="000000"/>
          <w:sz w:val="32"/>
          <w:szCs w:val="32"/>
        </w:rPr>
        <w:t>g/100g的</w:t>
      </w:r>
      <w:r>
        <w:rPr>
          <w:rFonts w:hint="eastAsia" w:ascii="仿宋_GB2312" w:hAnsi="宋体" w:eastAsia="仿宋_GB2312" w:cs="Times New Roman"/>
          <w:color w:val="000000"/>
          <w:sz w:val="32"/>
          <w:szCs w:val="32"/>
          <w:lang w:eastAsia="zh-CN"/>
        </w:rPr>
        <w:t>阻镉富硒微量元素水溶肥料产品</w:t>
      </w:r>
      <w:r>
        <w:rPr>
          <w:rFonts w:hint="eastAsia" w:ascii="仿宋_GB2312" w:hAnsi="宋体" w:eastAsia="仿宋_GB2312" w:cs="Times New Roman"/>
          <w:color w:val="000000"/>
          <w:sz w:val="32"/>
          <w:szCs w:val="32"/>
        </w:rPr>
        <w:t>占比为</w:t>
      </w:r>
      <w:r>
        <w:rPr>
          <w:rFonts w:hint="eastAsia" w:ascii="仿宋_GB2312" w:hAnsi="宋体" w:eastAsia="仿宋_GB2312" w:cs="Times New Roman"/>
          <w:color w:val="000000"/>
          <w:sz w:val="32"/>
          <w:szCs w:val="32"/>
          <w:lang w:val="en-US" w:eastAsia="zh-CN"/>
        </w:rPr>
        <w:t>56.3</w:t>
      </w:r>
      <w:r>
        <w:rPr>
          <w:rFonts w:hint="eastAsia" w:ascii="仿宋_GB2312" w:hAnsi="宋体" w:eastAsia="仿宋_GB2312" w:cs="Times New Roman"/>
          <w:color w:val="000000"/>
          <w:sz w:val="32"/>
          <w:szCs w:val="32"/>
        </w:rPr>
        <w:t>％；</w:t>
      </w:r>
    </w:p>
    <w:p w14:paraId="2F3FD431">
      <w:pPr>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eastAsia="zh-CN"/>
        </w:rPr>
        <w:t>硅含量（g/L）</w:t>
      </w:r>
      <w:r>
        <w:rPr>
          <w:rFonts w:hint="eastAsia" w:ascii="仿宋_GB2312" w:hAnsi="宋体" w:eastAsia="仿宋_GB2312" w:cs="Times New Roman"/>
          <w:color w:val="000000"/>
          <w:sz w:val="32"/>
          <w:szCs w:val="32"/>
          <w:lang w:val="en-US" w:eastAsia="zh-CN"/>
        </w:rPr>
        <w:t>＜2</w:t>
      </w:r>
      <w:r>
        <w:rPr>
          <w:rFonts w:hint="eastAsia" w:ascii="仿宋_GB2312" w:hAnsi="宋体" w:eastAsia="仿宋_GB2312" w:cs="Times New Roman"/>
          <w:color w:val="000000"/>
          <w:sz w:val="32"/>
          <w:szCs w:val="32"/>
        </w:rPr>
        <w:t>g/100g的</w:t>
      </w:r>
      <w:r>
        <w:rPr>
          <w:rFonts w:hint="eastAsia" w:ascii="仿宋_GB2312" w:hAnsi="宋体" w:eastAsia="仿宋_GB2312" w:cs="Times New Roman"/>
          <w:color w:val="000000"/>
          <w:sz w:val="32"/>
          <w:szCs w:val="32"/>
          <w:lang w:eastAsia="zh-CN"/>
        </w:rPr>
        <w:t>阻镉富硒微量元素水溶肥料产品</w:t>
      </w:r>
      <w:r>
        <w:rPr>
          <w:rFonts w:hint="eastAsia" w:ascii="仿宋_GB2312" w:hAnsi="宋体" w:eastAsia="仿宋_GB2312" w:cs="Times New Roman"/>
          <w:color w:val="000000"/>
          <w:sz w:val="32"/>
          <w:szCs w:val="32"/>
        </w:rPr>
        <w:t>占比为</w:t>
      </w:r>
      <w:r>
        <w:rPr>
          <w:rFonts w:hint="eastAsia" w:ascii="仿宋_GB2312" w:hAnsi="宋体" w:eastAsia="仿宋_GB2312" w:cs="Times New Roman"/>
          <w:color w:val="000000"/>
          <w:sz w:val="32"/>
          <w:szCs w:val="32"/>
          <w:lang w:val="en-US" w:eastAsia="zh-CN"/>
        </w:rPr>
        <w:t>43.7</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eastAsia="zh-CN"/>
        </w:rPr>
        <w:t>。</w:t>
      </w:r>
    </w:p>
    <w:p w14:paraId="5DF671ED">
      <w:pPr>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4</w:t>
      </w:r>
      <w:r>
        <w:rPr>
          <w:rFonts w:hint="eastAsia" w:ascii="仿宋_GB2312" w:hAnsi="宋体" w:eastAsia="仿宋_GB2312" w:cs="Times New Roman"/>
          <w:color w:val="000000"/>
          <w:sz w:val="32"/>
          <w:szCs w:val="32"/>
          <w:lang w:eastAsia="zh-CN"/>
        </w:rPr>
        <w:t>）pH</w:t>
      </w:r>
    </w:p>
    <w:p w14:paraId="5601A2DE">
      <w:pPr>
        <w:ind w:firstLine="640" w:firstLineChars="200"/>
        <w:rPr>
          <w:rFonts w:hint="default" w:ascii="仿宋_GB2312" w:hAnsi="宋体" w:eastAsia="仿宋_GB2312" w:cs="Times New Roman"/>
          <w:color w:val="000000"/>
          <w:sz w:val="32"/>
          <w:szCs w:val="32"/>
          <w:lang w:val="en-US"/>
        </w:rPr>
      </w:pPr>
      <w:r>
        <w:rPr>
          <w:rFonts w:hint="eastAsia" w:ascii="仿宋_GB2312" w:hAnsi="宋体" w:eastAsia="仿宋_GB2312" w:cs="Times New Roman"/>
          <w:color w:val="000000"/>
          <w:sz w:val="32"/>
          <w:szCs w:val="32"/>
        </w:rPr>
        <w:t>pH 5.0～9.0 适配多数土壤与作物生长环境，避免酸碱失衡影响肥效；《NY 1428-2010 微量元素水溶肥料》中规定了</w:t>
      </w:r>
      <w:r>
        <w:rPr>
          <w:rFonts w:hint="eastAsia" w:ascii="仿宋_GB2312" w:hAnsi="宋体" w:eastAsia="仿宋_GB2312" w:cs="Times New Roman"/>
          <w:color w:val="000000"/>
          <w:sz w:val="32"/>
          <w:szCs w:val="32"/>
          <w:lang w:eastAsia="zh-CN"/>
        </w:rPr>
        <w:t>pH</w:t>
      </w:r>
      <w:r>
        <w:rPr>
          <w:rFonts w:hint="eastAsia" w:ascii="仿宋_GB2312" w:hAnsi="宋体" w:eastAsia="仿宋_GB2312" w:cs="Times New Roman"/>
          <w:color w:val="000000"/>
          <w:sz w:val="32"/>
          <w:szCs w:val="32"/>
          <w:lang w:val="en-US" w:eastAsia="zh-CN"/>
        </w:rPr>
        <w:t>值在3.0</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10.0区间，</w:t>
      </w:r>
      <w:r>
        <w:rPr>
          <w:rFonts w:hint="eastAsia" w:ascii="仿宋_GB2312" w:hAnsi="宋体" w:eastAsia="仿宋_GB2312" w:cs="Times New Roman"/>
          <w:color w:val="000000"/>
          <w:sz w:val="32"/>
          <w:szCs w:val="32"/>
        </w:rPr>
        <w:t>《NY</w:t>
      </w:r>
      <w:r>
        <w:rPr>
          <w:rFonts w:hint="eastAsia" w:ascii="仿宋_GB2312" w:hAnsi="宋体" w:eastAsia="仿宋_GB2312" w:cs="Times New Roman"/>
          <w:color w:val="000000"/>
          <w:sz w:val="32"/>
          <w:szCs w:val="32"/>
          <w:lang w:val="en-US" w:eastAsia="zh-CN"/>
        </w:rPr>
        <w:t xml:space="preserve"> </w:t>
      </w:r>
      <w:r>
        <w:rPr>
          <w:rFonts w:hint="eastAsia" w:ascii="仿宋_GB2312" w:hAnsi="宋体" w:eastAsia="仿宋_GB2312" w:cs="Times New Roman"/>
          <w:color w:val="000000"/>
          <w:sz w:val="32"/>
          <w:szCs w:val="32"/>
        </w:rPr>
        <w:t>2266-2012 中量元素水溶肥料》中规定了</w:t>
      </w:r>
      <w:r>
        <w:rPr>
          <w:rFonts w:hint="eastAsia" w:ascii="仿宋_GB2312" w:hAnsi="宋体" w:eastAsia="仿宋_GB2312" w:cs="Times New Roman"/>
          <w:color w:val="000000"/>
          <w:sz w:val="32"/>
          <w:szCs w:val="32"/>
          <w:lang w:eastAsia="zh-CN"/>
        </w:rPr>
        <w:t>pH</w:t>
      </w:r>
      <w:r>
        <w:rPr>
          <w:rFonts w:hint="eastAsia" w:ascii="仿宋_GB2312" w:hAnsi="宋体" w:eastAsia="仿宋_GB2312" w:cs="Times New Roman"/>
          <w:color w:val="000000"/>
          <w:sz w:val="32"/>
          <w:szCs w:val="32"/>
          <w:lang w:val="en-US" w:eastAsia="zh-CN"/>
        </w:rPr>
        <w:t>值在3.0</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9.0区间，</w:t>
      </w:r>
      <w:r>
        <w:rPr>
          <w:rFonts w:hint="eastAsia" w:ascii="仿宋_GB2312" w:hAnsi="宋体" w:eastAsia="仿宋_GB2312" w:cs="Times New Roman"/>
          <w:color w:val="000000"/>
          <w:sz w:val="32"/>
          <w:szCs w:val="32"/>
        </w:rPr>
        <w:t>《NY</w:t>
      </w:r>
      <w:r>
        <w:rPr>
          <w:rFonts w:hint="eastAsia" w:ascii="仿宋_GB2312" w:hAnsi="宋体" w:eastAsia="仿宋_GB2312" w:cs="Times New Roman"/>
          <w:color w:val="000000"/>
          <w:sz w:val="32"/>
          <w:szCs w:val="32"/>
          <w:lang w:val="en-US" w:eastAsia="zh-CN"/>
        </w:rPr>
        <w:t>/</w:t>
      </w:r>
      <w:r>
        <w:rPr>
          <w:rFonts w:hint="eastAsia" w:ascii="仿宋_GB2312" w:hAnsi="宋体" w:eastAsia="仿宋_GB2312" w:cs="Times New Roman"/>
          <w:color w:val="000000"/>
          <w:sz w:val="32"/>
          <w:szCs w:val="32"/>
        </w:rPr>
        <w:t>T 3829-2021 含硅水溶肥料》中规定了</w:t>
      </w:r>
      <w:r>
        <w:rPr>
          <w:rFonts w:hint="eastAsia" w:ascii="仿宋_GB2312" w:hAnsi="宋体" w:eastAsia="仿宋_GB2312" w:cs="Times New Roman"/>
          <w:color w:val="000000"/>
          <w:sz w:val="32"/>
          <w:szCs w:val="32"/>
          <w:lang w:eastAsia="zh-CN"/>
        </w:rPr>
        <w:t>pH</w:t>
      </w:r>
      <w:r>
        <w:rPr>
          <w:rFonts w:hint="eastAsia" w:ascii="仿宋_GB2312" w:hAnsi="宋体" w:eastAsia="仿宋_GB2312" w:cs="Times New Roman"/>
          <w:color w:val="000000"/>
          <w:sz w:val="32"/>
          <w:szCs w:val="32"/>
          <w:lang w:val="en-US" w:eastAsia="zh-CN"/>
        </w:rPr>
        <w:t>值在5.5</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11.5区间，</w:t>
      </w:r>
      <w:r>
        <w:rPr>
          <w:rFonts w:hint="eastAsia" w:ascii="仿宋_GB2312" w:hAnsi="宋体" w:eastAsia="仿宋_GB2312" w:cs="Times New Roman"/>
          <w:color w:val="000000"/>
          <w:sz w:val="32"/>
          <w:szCs w:val="32"/>
        </w:rPr>
        <w:t>由表1可知，实际样品</w:t>
      </w:r>
      <w:r>
        <w:rPr>
          <w:rFonts w:hint="eastAsia" w:ascii="仿宋_GB2312" w:hAnsi="宋体" w:eastAsia="仿宋_GB2312" w:cs="Times New Roman"/>
          <w:color w:val="000000"/>
          <w:sz w:val="32"/>
          <w:szCs w:val="32"/>
          <w:lang w:eastAsia="zh-CN"/>
        </w:rPr>
        <w:t>pH</w:t>
      </w:r>
      <w:r>
        <w:rPr>
          <w:rFonts w:hint="eastAsia" w:ascii="仿宋_GB2312" w:hAnsi="宋体" w:eastAsia="仿宋_GB2312" w:cs="Times New Roman"/>
          <w:color w:val="000000"/>
          <w:sz w:val="32"/>
          <w:szCs w:val="32"/>
          <w:lang w:val="en-US" w:eastAsia="zh-CN"/>
        </w:rPr>
        <w:t>值在</w:t>
      </w:r>
      <w:r>
        <w:rPr>
          <w:rFonts w:hint="eastAsia" w:ascii="仿宋_GB2312" w:hAnsi="宋体" w:eastAsia="仿宋_GB2312" w:cs="Times New Roman"/>
          <w:color w:val="000000"/>
          <w:sz w:val="32"/>
          <w:szCs w:val="32"/>
          <w:lang w:eastAsia="zh-CN"/>
        </w:rPr>
        <w:t>6.8～7.1</w:t>
      </w:r>
      <w:r>
        <w:rPr>
          <w:rFonts w:hint="eastAsia" w:ascii="仿宋_GB2312" w:hAnsi="宋体" w:eastAsia="仿宋_GB2312" w:cs="Times New Roman"/>
          <w:color w:val="000000"/>
          <w:sz w:val="32"/>
          <w:szCs w:val="32"/>
          <w:lang w:val="en-US" w:eastAsia="zh-CN"/>
        </w:rPr>
        <w:t>区间</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结合产品实际检测结果及相关水溶肥标准，将指标定为</w:t>
      </w:r>
      <w:r>
        <w:rPr>
          <w:rFonts w:hint="eastAsia" w:ascii="仿宋_GB2312" w:hAnsi="宋体" w:eastAsia="仿宋_GB2312" w:cs="Times New Roman"/>
          <w:color w:val="000000"/>
          <w:sz w:val="32"/>
          <w:szCs w:val="32"/>
        </w:rPr>
        <w:t>≥5.0～9.0</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精准适配镉污染土壤酸碱环境，避免极端 pH 影响阻镉富硒效果</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100</w:t>
      </w:r>
      <w:r>
        <w:rPr>
          <w:rFonts w:hint="eastAsia" w:ascii="仿宋_GB2312" w:hAnsi="宋体" w:eastAsia="仿宋_GB2312" w:cs="Times New Roman"/>
          <w:color w:val="000000"/>
          <w:sz w:val="32"/>
          <w:szCs w:val="32"/>
        </w:rPr>
        <w:t>％</w:t>
      </w:r>
      <w:r>
        <w:rPr>
          <w:rFonts w:hint="eastAsia" w:ascii="仿宋_GB2312" w:hAnsi="宋体" w:eastAsia="仿宋_GB2312" w:cs="Times New Roman"/>
          <w:color w:val="000000"/>
          <w:sz w:val="32"/>
          <w:szCs w:val="32"/>
          <w:lang w:eastAsia="zh-CN"/>
        </w:rPr>
        <w:t>的</w:t>
      </w:r>
      <w:r>
        <w:rPr>
          <w:rFonts w:hint="eastAsia" w:ascii="仿宋_GB2312" w:hAnsi="宋体" w:eastAsia="仿宋_GB2312" w:cs="Times New Roman"/>
          <w:color w:val="000000"/>
          <w:sz w:val="32"/>
          <w:szCs w:val="32"/>
          <w:lang w:val="en-US" w:eastAsia="zh-CN"/>
        </w:rPr>
        <w:t>产品都符合要求。</w:t>
      </w:r>
    </w:p>
    <w:p w14:paraId="257985DD">
      <w:pPr>
        <w:ind w:firstLine="420" w:firstLineChars="200"/>
        <w:rPr>
          <w:rFonts w:hint="eastAsia" w:ascii="仿宋_GB2312" w:hAnsi="宋体" w:eastAsia="仿宋_GB2312" w:cs="Times New Roman"/>
          <w:color w:val="000000"/>
          <w:sz w:val="32"/>
          <w:szCs w:val="32"/>
        </w:rPr>
      </w:pPr>
      <w:r>
        <w:drawing>
          <wp:inline distT="0" distB="0" distL="114300" distR="114300">
            <wp:extent cx="5682615" cy="1801495"/>
            <wp:effectExtent l="0" t="0" r="1905"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682615" cy="1801495"/>
                    </a:xfrm>
                    <a:prstGeom prst="rect">
                      <a:avLst/>
                    </a:prstGeom>
                    <a:noFill/>
                    <a:ln>
                      <a:noFill/>
                    </a:ln>
                  </pic:spPr>
                </pic:pic>
              </a:graphicData>
            </a:graphic>
          </wp:inline>
        </w:drawing>
      </w:r>
    </w:p>
    <w:p w14:paraId="34100ADB">
      <w:pPr>
        <w:ind w:firstLine="562" w:firstLineChars="200"/>
        <w:jc w:val="center"/>
        <w:rPr>
          <w:rFonts w:hint="eastAsia" w:ascii="仿宋_GB2312" w:hAnsi="宋体" w:eastAsia="仿宋_GB2312" w:cs="Times New Roman"/>
          <w:color w:val="000000"/>
          <w:sz w:val="32"/>
          <w:szCs w:val="32"/>
        </w:rPr>
      </w:pPr>
      <w:r>
        <w:rPr>
          <w:rFonts w:hint="eastAsia" w:ascii="仿宋_GB2312" w:hAnsi="宋体" w:eastAsia="仿宋_GB2312"/>
          <w:b/>
          <w:color w:val="000000"/>
          <w:sz w:val="28"/>
          <w:szCs w:val="28"/>
        </w:rPr>
        <w:t>图</w:t>
      </w:r>
      <w:r>
        <w:rPr>
          <w:rFonts w:hint="eastAsia" w:ascii="仿宋_GB2312" w:hAnsi="宋体" w:eastAsia="仿宋_GB2312"/>
          <w:b/>
          <w:color w:val="000000"/>
          <w:sz w:val="28"/>
          <w:szCs w:val="28"/>
          <w:lang w:val="en-US" w:eastAsia="zh-CN"/>
        </w:rPr>
        <w:t>2</w:t>
      </w:r>
      <w:r>
        <w:rPr>
          <w:rFonts w:hint="eastAsia" w:ascii="仿宋_GB2312" w:hAnsi="宋体" w:eastAsia="仿宋_GB2312"/>
          <w:b/>
          <w:color w:val="000000"/>
          <w:sz w:val="28"/>
          <w:szCs w:val="28"/>
        </w:rPr>
        <w:t xml:space="preserve">  《NY/ 1428-2010 微量元素水溶肥料》（</w:t>
      </w:r>
      <w:r>
        <w:rPr>
          <w:rFonts w:hint="eastAsia" w:ascii="仿宋_GB2312" w:hAnsi="宋体" w:eastAsia="仿宋_GB2312"/>
          <w:b/>
          <w:color w:val="000000"/>
          <w:sz w:val="28"/>
          <w:szCs w:val="28"/>
          <w:lang w:val="en-US" w:eastAsia="zh-CN"/>
        </w:rPr>
        <w:t>技术指标</w:t>
      </w:r>
      <w:r>
        <w:rPr>
          <w:rFonts w:hint="eastAsia" w:ascii="仿宋_GB2312" w:hAnsi="宋体" w:eastAsia="仿宋_GB2312"/>
          <w:b/>
          <w:color w:val="000000"/>
          <w:sz w:val="28"/>
          <w:szCs w:val="28"/>
        </w:rPr>
        <w:t>）</w:t>
      </w:r>
    </w:p>
    <w:p w14:paraId="130C37FC">
      <w:pPr>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5</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水不溶物</w:t>
      </w:r>
    </w:p>
    <w:p w14:paraId="678E0E9F">
      <w:pPr>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rPr>
        <w:t>水不溶物≤50g/L 确保产品溶解性，符合水溶肥“易溶解、无残留”的应用要求，防止堵塞施肥设备。《NY 1428-2010 微量元素水溶肥料》中规定了水不溶物≤</w:t>
      </w:r>
      <w:r>
        <w:rPr>
          <w:rFonts w:hint="eastAsia" w:ascii="仿宋_GB2312" w:hAnsi="宋体" w:eastAsia="仿宋_GB2312" w:cs="Times New Roman"/>
          <w:color w:val="000000"/>
          <w:sz w:val="32"/>
          <w:szCs w:val="32"/>
          <w:lang w:val="en-US" w:eastAsia="zh-CN"/>
        </w:rPr>
        <w:t>5.0%</w:t>
      </w:r>
      <w:r>
        <w:rPr>
          <w:rFonts w:hint="eastAsia" w:ascii="仿宋_GB2312" w:hAnsi="宋体" w:eastAsia="仿宋_GB2312" w:cs="Times New Roman"/>
          <w:color w:val="000000"/>
          <w:sz w:val="32"/>
          <w:szCs w:val="32"/>
        </w:rPr>
        <w:t>，《NY 2266-2012 中量元素水溶肥料》中规定了水不溶物≤50g/L</w:t>
      </w:r>
      <w:r>
        <w:rPr>
          <w:rFonts w:hint="eastAsia" w:ascii="仿宋_GB2312" w:hAnsi="宋体" w:eastAsia="仿宋_GB2312" w:cs="Times New Roman"/>
          <w:color w:val="000000"/>
          <w:sz w:val="32"/>
          <w:szCs w:val="32"/>
          <w:lang w:eastAsia="zh-CN"/>
        </w:rPr>
        <w:t>。结合产品实际及相关水溶肥标准，将指标定为</w:t>
      </w:r>
      <w:r>
        <w:rPr>
          <w:rFonts w:hint="eastAsia" w:ascii="仿宋_GB2312" w:hAnsi="宋体" w:eastAsia="仿宋_GB2312" w:cs="Times New Roman"/>
          <w:color w:val="000000"/>
          <w:sz w:val="32"/>
          <w:szCs w:val="32"/>
        </w:rPr>
        <w:t>≤50g/L</w:t>
      </w:r>
      <w:r>
        <w:rPr>
          <w:rFonts w:hint="eastAsia" w:ascii="仿宋_GB2312" w:hAnsi="宋体" w:eastAsia="仿宋_GB2312" w:cs="Times New Roman"/>
          <w:color w:val="000000"/>
          <w:sz w:val="32"/>
          <w:szCs w:val="32"/>
          <w:lang w:eastAsia="zh-CN"/>
        </w:rPr>
        <w:t>。</w:t>
      </w:r>
    </w:p>
    <w:p w14:paraId="73045B9D">
      <w:pPr>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lang w:val="en-US" w:eastAsia="zh-CN"/>
        </w:rPr>
        <w:t>6</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汞、砷、镉、铅、铬限量</w:t>
      </w:r>
    </w:p>
    <w:p w14:paraId="35594E5A">
      <w:pPr>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rPr>
        <w:t>重金属（汞、砷等）符合</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NY 1110-2010 水溶肥料 汞、砷、镉、铅、铬的限量要求</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要求，规避污染土壤与作物；净含量应符合《定量包装商品计量监督管理办法》的规定</w:t>
      </w:r>
      <w:r>
        <w:rPr>
          <w:rFonts w:hint="eastAsia" w:ascii="仿宋_GB2312" w:hAnsi="宋体" w:eastAsia="仿宋_GB2312" w:cs="Times New Roman"/>
          <w:color w:val="000000"/>
          <w:sz w:val="32"/>
          <w:szCs w:val="32"/>
          <w:lang w:eastAsia="zh-CN"/>
        </w:rPr>
        <w:t>。</w:t>
      </w:r>
    </w:p>
    <w:p w14:paraId="5C903B05">
      <w:pPr>
        <w:ind w:firstLine="643"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b/>
          <w:bCs/>
          <w:color w:val="000000"/>
          <w:sz w:val="32"/>
          <w:szCs w:val="32"/>
        </w:rPr>
        <w:t>(</w:t>
      </w:r>
      <w:r>
        <w:rPr>
          <w:rFonts w:hint="eastAsia" w:ascii="仿宋_GB2312" w:hAnsi="宋体" w:eastAsia="仿宋_GB2312" w:cs="Times New Roman"/>
          <w:b/>
          <w:bCs/>
          <w:color w:val="000000"/>
          <w:sz w:val="32"/>
          <w:szCs w:val="32"/>
          <w:lang w:val="en-US" w:eastAsia="zh-CN"/>
        </w:rPr>
        <w:t>二</w:t>
      </w:r>
      <w:r>
        <w:rPr>
          <w:rFonts w:hint="eastAsia" w:ascii="仿宋_GB2312" w:hAnsi="宋体" w:eastAsia="仿宋_GB2312" w:cs="Times New Roman"/>
          <w:b/>
          <w:bCs/>
          <w:color w:val="000000"/>
          <w:sz w:val="32"/>
          <w:szCs w:val="32"/>
        </w:rPr>
        <w:t>)取样</w:t>
      </w:r>
    </w:p>
    <w:p w14:paraId="3B9FF8F7">
      <w:pPr>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应符合《GB/T 6680  液体化工产品采样通则》的要求。</w:t>
      </w:r>
    </w:p>
    <w:p w14:paraId="5ACBEDCD">
      <w:pPr>
        <w:ind w:firstLine="643"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b/>
          <w:bCs/>
          <w:color w:val="000000"/>
          <w:sz w:val="32"/>
          <w:szCs w:val="32"/>
        </w:rPr>
        <w:t>(</w:t>
      </w:r>
      <w:r>
        <w:rPr>
          <w:rFonts w:hint="eastAsia" w:ascii="仿宋_GB2312" w:hAnsi="宋体" w:eastAsia="仿宋_GB2312" w:cs="Times New Roman"/>
          <w:b/>
          <w:bCs/>
          <w:color w:val="000000"/>
          <w:sz w:val="32"/>
          <w:szCs w:val="32"/>
          <w:lang w:val="en-US" w:eastAsia="zh-CN"/>
        </w:rPr>
        <w:t>三</w:t>
      </w:r>
      <w:r>
        <w:rPr>
          <w:rFonts w:hint="eastAsia" w:ascii="仿宋_GB2312" w:hAnsi="宋体" w:eastAsia="仿宋_GB2312" w:cs="Times New Roman"/>
          <w:b/>
          <w:bCs/>
          <w:color w:val="000000"/>
          <w:sz w:val="32"/>
          <w:szCs w:val="32"/>
        </w:rPr>
        <w:t>)试验方法、检验规则</w:t>
      </w:r>
    </w:p>
    <w:p w14:paraId="7E111581">
      <w:pPr>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检测方法主要根据阻镉富硒微量元素水溶肥料产品的感官、</w:t>
      </w:r>
      <w:r>
        <w:rPr>
          <w:rFonts w:hint="eastAsia" w:ascii="仿宋_GB2312" w:hAnsi="宋体" w:eastAsia="仿宋_GB2312" w:cs="Times New Roman"/>
          <w:color w:val="000000"/>
          <w:sz w:val="32"/>
          <w:szCs w:val="32"/>
          <w:lang w:val="en-US" w:eastAsia="zh-CN"/>
        </w:rPr>
        <w:t>技术</w:t>
      </w:r>
      <w:r>
        <w:rPr>
          <w:rFonts w:hint="eastAsia" w:ascii="仿宋_GB2312" w:hAnsi="宋体" w:eastAsia="仿宋_GB2312" w:cs="Times New Roman"/>
          <w:color w:val="000000"/>
          <w:sz w:val="32"/>
          <w:szCs w:val="32"/>
        </w:rPr>
        <w:t>指标、安全指标的要求，分别列出。并依据相应检验方法及相关检测标准执行。</w:t>
      </w:r>
    </w:p>
    <w:p w14:paraId="59AA9175">
      <w:pPr>
        <w:ind w:firstLine="643"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b/>
          <w:bCs/>
          <w:color w:val="000000"/>
          <w:sz w:val="32"/>
          <w:szCs w:val="32"/>
        </w:rPr>
        <w:t>(</w:t>
      </w:r>
      <w:r>
        <w:rPr>
          <w:rFonts w:hint="eastAsia" w:ascii="仿宋_GB2312" w:hAnsi="宋体" w:eastAsia="仿宋_GB2312" w:cs="Times New Roman"/>
          <w:b/>
          <w:bCs/>
          <w:color w:val="000000"/>
          <w:sz w:val="32"/>
          <w:szCs w:val="32"/>
          <w:lang w:val="en-US" w:eastAsia="zh-CN"/>
        </w:rPr>
        <w:t>四</w:t>
      </w:r>
      <w:r>
        <w:rPr>
          <w:rFonts w:hint="eastAsia" w:ascii="仿宋_GB2312" w:hAnsi="宋体" w:eastAsia="仿宋_GB2312" w:cs="Times New Roman"/>
          <w:b/>
          <w:bCs/>
          <w:color w:val="000000"/>
          <w:sz w:val="32"/>
          <w:szCs w:val="32"/>
        </w:rPr>
        <w:t>)标识</w:t>
      </w:r>
    </w:p>
    <w:p w14:paraId="5D7BE26F">
      <w:pPr>
        <w:ind w:firstLine="640"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主要依据《NY/T 1979  肥料和土壤调理剂 标签及标明值判定要求》和阻镉富硒微量元素水溶肥料产品的特点综合考虑并经研讨确定。</w:t>
      </w:r>
    </w:p>
    <w:p w14:paraId="4E5C4580">
      <w:pPr>
        <w:ind w:firstLine="643" w:firstLineChars="200"/>
        <w:rPr>
          <w:rFonts w:hint="eastAsia" w:ascii="仿宋_GB2312" w:hAnsi="宋体" w:eastAsia="仿宋_GB2312" w:cs="Times New Roman"/>
          <w:color w:val="000000"/>
          <w:sz w:val="32"/>
          <w:szCs w:val="32"/>
        </w:rPr>
      </w:pPr>
      <w:r>
        <w:rPr>
          <w:rFonts w:hint="eastAsia" w:ascii="仿宋_GB2312" w:hAnsi="宋体" w:eastAsia="仿宋_GB2312" w:cs="Times New Roman"/>
          <w:b/>
          <w:bCs/>
          <w:color w:val="000000"/>
          <w:sz w:val="32"/>
          <w:szCs w:val="32"/>
        </w:rPr>
        <w:t>(六)包装、运输和贮存</w:t>
      </w:r>
    </w:p>
    <w:p w14:paraId="2631FD86">
      <w:pPr>
        <w:ind w:firstLine="640" w:firstLineChars="200"/>
        <w:rPr>
          <w:rFonts w:hint="eastAsia" w:ascii="仿宋_GB2312" w:hAnsi="宋体" w:eastAsia="仿宋_GB2312" w:cs="Times New Roman"/>
          <w:color w:val="000000"/>
          <w:sz w:val="32"/>
          <w:szCs w:val="32"/>
          <w:lang w:eastAsia="zh-CN"/>
        </w:rPr>
      </w:pPr>
      <w:r>
        <w:rPr>
          <w:rFonts w:hint="eastAsia" w:ascii="仿宋_GB2312" w:hAnsi="宋体" w:eastAsia="仿宋_GB2312" w:cs="Times New Roman"/>
          <w:color w:val="000000"/>
          <w:sz w:val="32"/>
          <w:szCs w:val="32"/>
          <w:lang w:val="en-US" w:eastAsia="zh-CN"/>
        </w:rPr>
        <w:t>包装</w:t>
      </w:r>
      <w:r>
        <w:rPr>
          <w:rFonts w:hint="eastAsia" w:ascii="仿宋_GB2312" w:hAnsi="宋体" w:eastAsia="仿宋_GB2312" w:cs="Times New Roman"/>
          <w:color w:val="000000"/>
          <w:sz w:val="32"/>
          <w:szCs w:val="32"/>
        </w:rPr>
        <w:t>应符合《NY/T 1108  液体肥料 包装技术要求》的要求。销售包装容器中的物料应混合均匀，不应附加其他成分小包装物料。产品在运输过程中应防潮，防晒，防破裂，警示说明应符合</w:t>
      </w:r>
      <w:r>
        <w:rPr>
          <w:rFonts w:hint="eastAsia" w:ascii="仿宋_GB2312" w:hAnsi="宋体" w:eastAsia="仿宋_GB2312" w:cs="Times New Roman"/>
          <w:color w:val="000000"/>
          <w:sz w:val="32"/>
          <w:szCs w:val="32"/>
          <w:lang w:eastAsia="zh-CN"/>
        </w:rPr>
        <w:t>《GB 190  危险货物包装标志》</w:t>
      </w:r>
      <w:r>
        <w:rPr>
          <w:rFonts w:hint="eastAsia" w:ascii="仿宋_GB2312" w:hAnsi="宋体" w:eastAsia="仿宋_GB2312" w:cs="Times New Roman"/>
          <w:color w:val="000000"/>
          <w:sz w:val="32"/>
          <w:szCs w:val="32"/>
        </w:rPr>
        <w:t>和</w:t>
      </w:r>
      <w:r>
        <w:rPr>
          <w:rFonts w:hint="eastAsia" w:ascii="仿宋_GB2312" w:hAnsi="宋体" w:eastAsia="仿宋_GB2312" w:cs="Times New Roman"/>
          <w:color w:val="000000"/>
          <w:sz w:val="32"/>
          <w:szCs w:val="32"/>
          <w:lang w:eastAsia="zh-CN"/>
        </w:rPr>
        <w:t>《GB/T 191  包装储运图示标志》</w:t>
      </w:r>
      <w:r>
        <w:rPr>
          <w:rFonts w:hint="eastAsia" w:ascii="仿宋_GB2312" w:hAnsi="宋体" w:eastAsia="仿宋_GB2312" w:cs="Times New Roman"/>
          <w:color w:val="000000"/>
          <w:sz w:val="32"/>
          <w:szCs w:val="32"/>
        </w:rPr>
        <w:t>的要求</w:t>
      </w:r>
      <w:r>
        <w:rPr>
          <w:rFonts w:hint="eastAsia" w:ascii="仿宋_GB2312" w:hAnsi="宋体" w:eastAsia="仿宋_GB2312" w:cs="Times New Roman"/>
          <w:color w:val="000000"/>
          <w:sz w:val="32"/>
          <w:szCs w:val="32"/>
          <w:lang w:eastAsia="zh-CN"/>
        </w:rPr>
        <w:t>。</w:t>
      </w:r>
    </w:p>
    <w:p w14:paraId="644E9004">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六、国内同类标准制修订情况及与法律法规、强制性标准关系</w:t>
      </w:r>
    </w:p>
    <w:p w14:paraId="324AA906">
      <w:pPr>
        <w:spacing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经查阅，目前与“微量元素水溶肥”、“镉 肥”、“硒 肥”相关的产品标准有：</w:t>
      </w:r>
    </w:p>
    <w:p w14:paraId="754327A3">
      <w:pPr>
        <w:spacing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NY 1428-2010《微量元素水溶肥料》规定了微量元素水溶肥料的技术要求、试验方法、检验规则、标识、包装、运输和贮存。适用于中华人民共和国境内生产和销售的，由铜、铁、锰、锌、硼、钼微量元素按所需比例制成的或单一微量元素制成的液体或固体水溶肥料。不适用于已有强制性国家或行业标准的肥料(如硫酸铜、硫酸锌)和螯合态肥料(如EDDHA-Fe)。</w:t>
      </w:r>
    </w:p>
    <w:p w14:paraId="2C549DF7">
      <w:pPr>
        <w:spacing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DB61/T 508.3-2011《富硒双低油菜专用肥》规定了富硒双低油菜专用肥的元素含量指标、检验方法、包装、标志、贮存、运输等，适用于富硒双低油菜专用肥的生产、销售。</w:t>
      </w:r>
    </w:p>
    <w:p w14:paraId="453CC90C">
      <w:pPr>
        <w:spacing w:line="560" w:lineRule="exact"/>
        <w:ind w:firstLine="640" w:firstLineChars="200"/>
        <w:rPr>
          <w:rFonts w:hint="eastAsia" w:ascii="仿宋_GB2312" w:hAnsi="宋体" w:eastAsia="仿宋_GB2312"/>
          <w:sz w:val="32"/>
          <w:szCs w:val="28"/>
        </w:rPr>
      </w:pPr>
      <w:r>
        <w:rPr>
          <w:rFonts w:hint="eastAsia" w:ascii="仿宋_GB2312" w:hAnsi="宋体" w:eastAsia="仿宋_GB2312"/>
          <w:sz w:val="32"/>
          <w:szCs w:val="28"/>
        </w:rPr>
        <w:t>相关的检测方法标准有：DB37/T 2618-2014《微量元素水溶肥料中硒含量的测定》、GB/T 23349-2020《肥料中砷、镉、铬、铅、汞含量的测定》、GB/T 39229-2020《肥料和土壤调理剂  砷、镉、铬、铅、汞含量的测定》、GB/T 39356-2020《肥料中总镍、总钴、总硒、总钒、总锑、总铊含量的测定  电感耦合等离子体发射光谱法》、NY/T 1972-2010《水溶肥料  钠、硒、硅含量的测定》、DB12/T 1024-2020《水溶肥料+汞、砷、镉、铅、铬的测定+电感耦合等离子体质谱法》等。</w:t>
      </w:r>
    </w:p>
    <w:p w14:paraId="5B849EC5">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综上所述，目前与阻镉富硒微量元素水溶肥料相关的国家、行业、地方和团体标准较少，其中产品标准NY 1428-2010《微量元素水溶肥料》主要对微量元素水溶肥料的主要技术提出要求，但未涉及阻镉富硒性能，而DB61/T 508.3-2011《富硒双低油菜专用肥》提及富硒，但未涉及阻镉内容，也不属于水溶肥料的范畴。相关的检测标准与本标准规定的产品标准在方向上存在差异，不属于同类标准，因此也不具备可比性。本标准规定的水溶肥料主要用于水稻的阻镉富硒，具有极强的针对性、适用性和可行性，由此可见，制定团体标准《阻镉富硒微量元素水溶肥料》，能够填补相关标准空白，为水稻的增产提质提供强有力的保障。</w:t>
      </w:r>
    </w:p>
    <w:p w14:paraId="09CBE4F4">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本标准的内容与现行的法律、法规及强制性标准无冲突，标准的编写符合GB/T 1.1—2020的要求。</w:t>
      </w:r>
    </w:p>
    <w:p w14:paraId="6E1B2201">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bookmarkStart w:id="2" w:name="_Toc526940086"/>
      <w:r>
        <w:rPr>
          <w:rFonts w:hint="eastAsia" w:ascii="黑体" w:hAnsi="黑体" w:eastAsia="黑体" w:cs="仿宋_GB2312"/>
          <w:sz w:val="32"/>
          <w:szCs w:val="32"/>
        </w:rPr>
        <w:t>七、</w:t>
      </w:r>
      <w:bookmarkEnd w:id="2"/>
      <w:r>
        <w:rPr>
          <w:rFonts w:hint="eastAsia" w:ascii="黑体" w:hAnsi="黑体" w:eastAsia="黑体" w:cs="仿宋_GB2312"/>
          <w:sz w:val="32"/>
          <w:szCs w:val="32"/>
        </w:rPr>
        <w:t>重大分歧意见的处理经过和依据</w:t>
      </w:r>
    </w:p>
    <w:p w14:paraId="21F47780">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本标准研制过程中无重大分歧意见。</w:t>
      </w:r>
    </w:p>
    <w:p w14:paraId="3A993C26">
      <w:pPr>
        <w:autoSpaceDE w:val="0"/>
        <w:autoSpaceDN w:val="0"/>
        <w:adjustRightInd w:val="0"/>
        <w:spacing w:before="156" w:beforeLines="50" w:after="156" w:afterLines="50"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八、自我承诺</w:t>
      </w:r>
    </w:p>
    <w:p w14:paraId="23A53EB2">
      <w:pPr>
        <w:spacing w:line="560" w:lineRule="exact"/>
        <w:ind w:firstLine="640" w:firstLineChars="200"/>
        <w:rPr>
          <w:rFonts w:ascii="仿宋_GB2312" w:hAnsi="宋体" w:eastAsia="仿宋_GB2312"/>
          <w:sz w:val="32"/>
          <w:szCs w:val="28"/>
        </w:rPr>
      </w:pPr>
      <w:r>
        <w:rPr>
          <w:rFonts w:hint="eastAsia" w:ascii="仿宋_GB2312" w:hAnsi="宋体" w:eastAsia="仿宋_GB2312"/>
          <w:sz w:val="32"/>
          <w:szCs w:val="28"/>
        </w:rPr>
        <w:t>本标准内容与各项指标不低于强制性标准要求。</w:t>
      </w:r>
    </w:p>
    <w:p w14:paraId="1562F1AF">
      <w:pPr>
        <w:spacing w:line="560" w:lineRule="exact"/>
        <w:rPr>
          <w:rFonts w:ascii="仿宋_GB2312" w:hAnsi="仿宋" w:eastAsia="仿宋_GB2312"/>
          <w:bCs/>
          <w:color w:val="000000"/>
          <w:sz w:val="36"/>
          <w:szCs w:val="32"/>
        </w:rPr>
      </w:pPr>
    </w:p>
    <w:p w14:paraId="0FDE70D6">
      <w:pPr>
        <w:spacing w:line="560" w:lineRule="exact"/>
        <w:rPr>
          <w:rFonts w:ascii="仿宋_GB2312" w:hAnsi="仿宋" w:eastAsia="仿宋_GB2312"/>
          <w:bCs/>
          <w:color w:val="000000"/>
          <w:sz w:val="36"/>
          <w:szCs w:val="32"/>
        </w:rPr>
      </w:pPr>
    </w:p>
    <w:p w14:paraId="639B864D">
      <w:pPr>
        <w:wordWrap w:val="0"/>
        <w:spacing w:line="560" w:lineRule="exact"/>
        <w:jc w:val="right"/>
        <w:rPr>
          <w:rFonts w:ascii="仿宋_GB2312" w:hAnsi="宋体" w:eastAsia="仿宋_GB2312"/>
          <w:sz w:val="32"/>
          <w:szCs w:val="28"/>
        </w:rPr>
      </w:pPr>
      <w:r>
        <w:rPr>
          <w:rFonts w:hint="eastAsia" w:ascii="仿宋_GB2312" w:hAnsi="宋体" w:eastAsia="仿宋_GB2312"/>
          <w:sz w:val="32"/>
          <w:szCs w:val="28"/>
        </w:rPr>
        <w:t xml:space="preserve"> 团体标准《阻镉富硒微量元素水溶肥料》</w:t>
      </w:r>
    </w:p>
    <w:p w14:paraId="607C1987">
      <w:pPr>
        <w:wordWrap w:val="0"/>
        <w:spacing w:line="560" w:lineRule="exact"/>
        <w:jc w:val="right"/>
        <w:rPr>
          <w:rFonts w:ascii="仿宋_GB2312" w:hAnsi="宋体" w:eastAsia="仿宋_GB2312"/>
          <w:sz w:val="32"/>
          <w:szCs w:val="28"/>
        </w:rPr>
      </w:pPr>
      <w:r>
        <w:rPr>
          <w:rFonts w:hint="eastAsia" w:ascii="仿宋_GB2312" w:hAnsi="宋体" w:eastAsia="仿宋_GB2312"/>
          <w:sz w:val="32"/>
          <w:szCs w:val="28"/>
        </w:rPr>
        <w:t xml:space="preserve">标准编制工作组 </w:t>
      </w:r>
      <w:r>
        <w:rPr>
          <w:rFonts w:ascii="仿宋_GB2312" w:hAnsi="宋体" w:eastAsia="仿宋_GB2312"/>
          <w:sz w:val="32"/>
          <w:szCs w:val="28"/>
        </w:rPr>
        <w:t xml:space="preserve">        </w:t>
      </w:r>
    </w:p>
    <w:p w14:paraId="13EC3CEB">
      <w:pPr>
        <w:wordWrap w:val="0"/>
        <w:spacing w:line="560" w:lineRule="exact"/>
        <w:jc w:val="right"/>
        <w:rPr>
          <w:rFonts w:ascii="仿宋_GB2312" w:hAnsi="宋体" w:eastAsia="仿宋_GB2312"/>
          <w:sz w:val="32"/>
          <w:szCs w:val="28"/>
        </w:rPr>
      </w:pPr>
      <w:r>
        <w:rPr>
          <w:rFonts w:hint="eastAsia" w:ascii="仿宋_GB2312" w:hAnsi="宋体" w:eastAsia="仿宋_GB2312"/>
          <w:sz w:val="32"/>
          <w:szCs w:val="28"/>
        </w:rPr>
        <w:t>202</w:t>
      </w:r>
      <w:r>
        <w:rPr>
          <w:rFonts w:ascii="仿宋_GB2312" w:hAnsi="宋体" w:eastAsia="仿宋_GB2312"/>
          <w:sz w:val="32"/>
          <w:szCs w:val="28"/>
        </w:rPr>
        <w:t>4</w:t>
      </w:r>
      <w:r>
        <w:rPr>
          <w:rFonts w:hint="eastAsia" w:ascii="仿宋_GB2312" w:hAnsi="宋体" w:eastAsia="仿宋_GB2312"/>
          <w:sz w:val="32"/>
          <w:szCs w:val="28"/>
        </w:rPr>
        <w:t>年</w:t>
      </w:r>
      <w:r>
        <w:rPr>
          <w:rFonts w:ascii="仿宋_GB2312" w:hAnsi="宋体" w:eastAsia="仿宋_GB2312"/>
          <w:sz w:val="32"/>
          <w:szCs w:val="28"/>
        </w:rPr>
        <w:t>6</w:t>
      </w:r>
      <w:r>
        <w:rPr>
          <w:rFonts w:hint="eastAsia" w:ascii="仿宋_GB2312" w:hAnsi="宋体" w:eastAsia="仿宋_GB2312"/>
          <w:sz w:val="32"/>
          <w:szCs w:val="28"/>
        </w:rPr>
        <w:t>月</w:t>
      </w:r>
      <w:r>
        <w:rPr>
          <w:rFonts w:ascii="仿宋_GB2312" w:hAnsi="宋体" w:eastAsia="仿宋_GB2312"/>
          <w:sz w:val="32"/>
          <w:szCs w:val="28"/>
        </w:rPr>
        <w:t>25</w:t>
      </w:r>
      <w:r>
        <w:rPr>
          <w:rFonts w:hint="eastAsia" w:ascii="仿宋_GB2312" w:hAnsi="宋体" w:eastAsia="仿宋_GB2312"/>
          <w:sz w:val="32"/>
          <w:szCs w:val="28"/>
        </w:rPr>
        <w:t xml:space="preserve">日       </w:t>
      </w:r>
      <w:r>
        <w:rPr>
          <w:rFonts w:ascii="仿宋_GB2312" w:hAnsi="宋体" w:eastAsia="仿宋_GB2312"/>
          <w:sz w:val="32"/>
          <w:szCs w:val="28"/>
        </w:rPr>
        <w:t xml:space="preserve"> </w:t>
      </w:r>
    </w:p>
    <w:sectPr>
      <w:footerReference r:id="rId3" w:type="default"/>
      <w:pgSz w:w="11906" w:h="16838"/>
      <w:pgMar w:top="1474"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8AC69B-157D-4329-A79B-0A8732648E5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EAD649C-477E-4AA8-9C69-64A4BE7F8735}"/>
  </w:font>
  <w:font w:name="方正小标宋简体">
    <w:panose1 w:val="03000509000000000000"/>
    <w:charset w:val="86"/>
    <w:family w:val="script"/>
    <w:pitch w:val="default"/>
    <w:sig w:usb0="00000001" w:usb1="080E0000" w:usb2="00000000" w:usb3="00000000" w:csb0="00040000" w:csb1="00000000"/>
    <w:embedRegular r:id="rId3" w:fontKey="{9D4EBA68-A148-429C-87DA-D80859FD459B}"/>
  </w:font>
  <w:font w:name="仿宋_GB2312">
    <w:panose1 w:val="02010609030101010101"/>
    <w:charset w:val="86"/>
    <w:family w:val="modern"/>
    <w:pitch w:val="default"/>
    <w:sig w:usb0="00000001" w:usb1="080E0000" w:usb2="00000000" w:usb3="00000000" w:csb0="00040000" w:csb1="00000000"/>
    <w:embedRegular r:id="rId4" w:fontKey="{8493DE68-82FC-448E-9A83-4773494D67F4}"/>
  </w:font>
  <w:font w:name="楷体">
    <w:panose1 w:val="02010609060101010101"/>
    <w:charset w:val="86"/>
    <w:family w:val="modern"/>
    <w:pitch w:val="default"/>
    <w:sig w:usb0="800002BF" w:usb1="38CF7CFA" w:usb2="00000016" w:usb3="00000000" w:csb0="00040001" w:csb1="00000000"/>
    <w:embedRegular r:id="rId5" w:fontKey="{0E9FADC6-D0DB-4A0C-BF1A-7977DF426CA5}"/>
  </w:font>
  <w:font w:name="方正仿宋_GB2312">
    <w:panose1 w:val="02000000000000000000"/>
    <w:charset w:val="86"/>
    <w:family w:val="auto"/>
    <w:pitch w:val="default"/>
    <w:sig w:usb0="A00002BF" w:usb1="184F6CFA" w:usb2="00000012" w:usb3="00000000" w:csb0="00040001" w:csb1="00000000"/>
    <w:embedRegular r:id="rId6" w:fontKey="{58C962AA-D815-4DEA-A23A-5B79267CD2FF}"/>
  </w:font>
  <w:font w:name="仿宋">
    <w:panose1 w:val="02010609060101010101"/>
    <w:charset w:val="86"/>
    <w:family w:val="modern"/>
    <w:pitch w:val="default"/>
    <w:sig w:usb0="800002BF" w:usb1="38CF7CFA" w:usb2="00000016" w:usb3="00000000" w:csb0="00040001" w:csb1="00000000"/>
    <w:embedRegular r:id="rId7" w:fontKey="{C872B3F2-99CE-43AF-9EA9-8046422DBAD3}"/>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16374"/>
      <w:docPartObj>
        <w:docPartGallery w:val="autotext"/>
      </w:docPartObj>
    </w:sdtPr>
    <w:sdtContent>
      <w:p w14:paraId="2BE1229F">
        <w:pPr>
          <w:pStyle w:val="4"/>
          <w:jc w:val="center"/>
        </w:pPr>
        <w:r>
          <w:fldChar w:fldCharType="begin"/>
        </w:r>
        <w:r>
          <w:instrText xml:space="preserve">PAGE   \* MERGEFORMAT</w:instrText>
        </w:r>
        <w:r>
          <w:fldChar w:fldCharType="separate"/>
        </w:r>
        <w:r>
          <w:rPr>
            <w:lang w:val="zh-CN"/>
          </w:rPr>
          <w:t>8</w:t>
        </w:r>
        <w:r>
          <w:fldChar w:fldCharType="end"/>
        </w:r>
      </w:p>
    </w:sdtContent>
  </w:sdt>
  <w:p w14:paraId="76F9E80E">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21"/>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DDE2B46"/>
    <w:multiLevelType w:val="multilevel"/>
    <w:tmpl w:val="0DDE2B46"/>
    <w:lvl w:ilvl="0" w:tentative="0">
      <w:start w:val="1"/>
      <w:numFmt w:val="lowerLetter"/>
      <w:pStyle w:val="25"/>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
    <w:nsid w:val="120F0D74"/>
    <w:multiLevelType w:val="multilevel"/>
    <w:tmpl w:val="120F0D74"/>
    <w:lvl w:ilvl="0" w:tentative="0">
      <w:start w:val="1"/>
      <w:numFmt w:val="japaneseCounting"/>
      <w:lvlText w:val="（%1）"/>
      <w:lvlJc w:val="left"/>
      <w:pPr>
        <w:ind w:left="1005" w:hanging="100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DBF583A"/>
    <w:multiLevelType w:val="multilevel"/>
    <w:tmpl w:val="1DBF583A"/>
    <w:lvl w:ilvl="0" w:tentative="0">
      <w:start w:val="1"/>
      <w:numFmt w:val="decimal"/>
      <w:pStyle w:val="2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52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17"/>
      <w:suff w:val="nothing"/>
      <w:lvlText w:val="%1.%2.%3　"/>
      <w:lvlJc w:val="left"/>
      <w:pPr>
        <w:ind w:left="0" w:firstLine="0"/>
      </w:pPr>
      <w:rPr>
        <w:rFonts w:hint="eastAsia" w:ascii="黑体" w:hAnsi="Times New Roman" w:eastAsia="黑体"/>
        <w:b w:val="0"/>
        <w:i w:val="0"/>
        <w:sz w:val="21"/>
      </w:rPr>
    </w:lvl>
    <w:lvl w:ilvl="3" w:tentative="0">
      <w:start w:val="1"/>
      <w:numFmt w:val="decimal"/>
      <w:pStyle w:val="18"/>
      <w:suff w:val="nothing"/>
      <w:lvlText w:val="%1.%2.%3.%4　"/>
      <w:lvlJc w:val="left"/>
      <w:pPr>
        <w:ind w:left="0" w:firstLine="0"/>
      </w:pPr>
      <w:rPr>
        <w:rFonts w:hint="eastAsia" w:ascii="黑体" w:hAnsi="Times New Roman" w:eastAsia="黑体"/>
        <w:b w:val="0"/>
        <w:i w:val="0"/>
        <w:sz w:val="21"/>
      </w:rPr>
    </w:lvl>
    <w:lvl w:ilvl="4" w:tentative="0">
      <w:start w:val="1"/>
      <w:numFmt w:val="decimal"/>
      <w:pStyle w:val="19"/>
      <w:suff w:val="nothing"/>
      <w:lvlText w:val="%1.%2.%3.%4.%5　"/>
      <w:lvlJc w:val="left"/>
      <w:pPr>
        <w:ind w:left="0" w:firstLine="0"/>
      </w:pPr>
      <w:rPr>
        <w:rFonts w:hint="eastAsia" w:ascii="黑体" w:hAnsi="Times New Roman" w:eastAsia="黑体"/>
        <w:b w:val="0"/>
        <w:i w:val="0"/>
        <w:sz w:val="21"/>
      </w:rPr>
    </w:lvl>
    <w:lvl w:ilvl="5" w:tentative="0">
      <w:start w:val="1"/>
      <w:numFmt w:val="decimal"/>
      <w:pStyle w:val="2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22"/>
      <w:suff w:val="space"/>
      <w:lvlText w:val="%1"/>
      <w:lvlJc w:val="left"/>
      <w:pPr>
        <w:ind w:left="623" w:hanging="425"/>
      </w:pPr>
      <w:rPr>
        <w:rFonts w:hint="eastAsia"/>
      </w:rPr>
    </w:lvl>
    <w:lvl w:ilvl="1" w:tentative="0">
      <w:start w:val="1"/>
      <w:numFmt w:val="decimal"/>
      <w:pStyle w:val="2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557C2AF5"/>
    <w:multiLevelType w:val="multilevel"/>
    <w:tmpl w:val="557C2AF5"/>
    <w:lvl w:ilvl="0" w:tentative="0">
      <w:start w:val="1"/>
      <w:numFmt w:val="decimal"/>
      <w:pStyle w:val="1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2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46260FA"/>
    <w:multiLevelType w:val="multilevel"/>
    <w:tmpl w:val="646260FA"/>
    <w:lvl w:ilvl="0" w:tentative="0">
      <w:start w:val="1"/>
      <w:numFmt w:val="decimal"/>
      <w:pStyle w:val="13"/>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8"/>
  </w:num>
  <w:num w:numId="2">
    <w:abstractNumId w:val="6"/>
  </w:num>
  <w:num w:numId="3">
    <w:abstractNumId w:val="4"/>
  </w:num>
  <w:num w:numId="4">
    <w:abstractNumId w:val="0"/>
  </w:num>
  <w:num w:numId="5">
    <w:abstractNumId w:val="5"/>
  </w:num>
  <w:num w:numId="6">
    <w:abstractNumId w:val="3"/>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2E"/>
    <w:rsid w:val="0000457E"/>
    <w:rsid w:val="00005CA4"/>
    <w:rsid w:val="000107BC"/>
    <w:rsid w:val="00013090"/>
    <w:rsid w:val="00016837"/>
    <w:rsid w:val="00021331"/>
    <w:rsid w:val="00023119"/>
    <w:rsid w:val="00023FE2"/>
    <w:rsid w:val="00024212"/>
    <w:rsid w:val="00024664"/>
    <w:rsid w:val="00032CD6"/>
    <w:rsid w:val="00033257"/>
    <w:rsid w:val="00034233"/>
    <w:rsid w:val="00034BDB"/>
    <w:rsid w:val="0004726D"/>
    <w:rsid w:val="00047D7B"/>
    <w:rsid w:val="00053B0B"/>
    <w:rsid w:val="000576D0"/>
    <w:rsid w:val="00057758"/>
    <w:rsid w:val="00060FE2"/>
    <w:rsid w:val="0007330D"/>
    <w:rsid w:val="00073F72"/>
    <w:rsid w:val="00074EB1"/>
    <w:rsid w:val="00076BBA"/>
    <w:rsid w:val="00080F2F"/>
    <w:rsid w:val="0008145A"/>
    <w:rsid w:val="0009177A"/>
    <w:rsid w:val="00093E74"/>
    <w:rsid w:val="000962F6"/>
    <w:rsid w:val="000A0201"/>
    <w:rsid w:val="000A1EAE"/>
    <w:rsid w:val="000A3070"/>
    <w:rsid w:val="000A4601"/>
    <w:rsid w:val="000A77CD"/>
    <w:rsid w:val="000B572A"/>
    <w:rsid w:val="000D0007"/>
    <w:rsid w:val="000D0ACE"/>
    <w:rsid w:val="000D15BE"/>
    <w:rsid w:val="000D5AC8"/>
    <w:rsid w:val="000D6612"/>
    <w:rsid w:val="000D6655"/>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191"/>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5F01"/>
    <w:rsid w:val="001C6B88"/>
    <w:rsid w:val="001C793C"/>
    <w:rsid w:val="001D22F0"/>
    <w:rsid w:val="001D64DB"/>
    <w:rsid w:val="001D7816"/>
    <w:rsid w:val="001E5000"/>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526F3"/>
    <w:rsid w:val="00254F7A"/>
    <w:rsid w:val="00256FE0"/>
    <w:rsid w:val="002614C6"/>
    <w:rsid w:val="002621E1"/>
    <w:rsid w:val="00262753"/>
    <w:rsid w:val="00262771"/>
    <w:rsid w:val="00262F6C"/>
    <w:rsid w:val="00264A7D"/>
    <w:rsid w:val="00264CE4"/>
    <w:rsid w:val="00266090"/>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C1D2A"/>
    <w:rsid w:val="002C4FFB"/>
    <w:rsid w:val="002C5534"/>
    <w:rsid w:val="002C611B"/>
    <w:rsid w:val="002C73B6"/>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B2F32"/>
    <w:rsid w:val="003B5050"/>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155D"/>
    <w:rsid w:val="004D2302"/>
    <w:rsid w:val="004D5B22"/>
    <w:rsid w:val="004E3026"/>
    <w:rsid w:val="004F0593"/>
    <w:rsid w:val="004F48C2"/>
    <w:rsid w:val="004F74F0"/>
    <w:rsid w:val="004F7FA9"/>
    <w:rsid w:val="005009D1"/>
    <w:rsid w:val="0050156A"/>
    <w:rsid w:val="00505469"/>
    <w:rsid w:val="005066ED"/>
    <w:rsid w:val="005067C2"/>
    <w:rsid w:val="00507320"/>
    <w:rsid w:val="0051028F"/>
    <w:rsid w:val="0051148B"/>
    <w:rsid w:val="00513080"/>
    <w:rsid w:val="00514C97"/>
    <w:rsid w:val="005159F5"/>
    <w:rsid w:val="00526200"/>
    <w:rsid w:val="005269CF"/>
    <w:rsid w:val="00533886"/>
    <w:rsid w:val="0053418A"/>
    <w:rsid w:val="00535AC6"/>
    <w:rsid w:val="00537550"/>
    <w:rsid w:val="0054317B"/>
    <w:rsid w:val="00543BE5"/>
    <w:rsid w:val="00546DEA"/>
    <w:rsid w:val="005639F8"/>
    <w:rsid w:val="005656AA"/>
    <w:rsid w:val="005742DB"/>
    <w:rsid w:val="00577C08"/>
    <w:rsid w:val="005802BD"/>
    <w:rsid w:val="0058151C"/>
    <w:rsid w:val="00581CE7"/>
    <w:rsid w:val="00582F5C"/>
    <w:rsid w:val="0058472C"/>
    <w:rsid w:val="005866D6"/>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6062AE"/>
    <w:rsid w:val="0060656D"/>
    <w:rsid w:val="00606B5A"/>
    <w:rsid w:val="00610884"/>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65EC"/>
    <w:rsid w:val="006E7520"/>
    <w:rsid w:val="006F03ED"/>
    <w:rsid w:val="006F67E6"/>
    <w:rsid w:val="006F77F7"/>
    <w:rsid w:val="00700D32"/>
    <w:rsid w:val="0070138D"/>
    <w:rsid w:val="0070141C"/>
    <w:rsid w:val="00701A2B"/>
    <w:rsid w:val="0070266E"/>
    <w:rsid w:val="00705429"/>
    <w:rsid w:val="0070730B"/>
    <w:rsid w:val="00712BC5"/>
    <w:rsid w:val="00715CA4"/>
    <w:rsid w:val="00716EAC"/>
    <w:rsid w:val="00720395"/>
    <w:rsid w:val="00721872"/>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4AFC"/>
    <w:rsid w:val="007B7812"/>
    <w:rsid w:val="007C11E0"/>
    <w:rsid w:val="007C3308"/>
    <w:rsid w:val="007C4C1F"/>
    <w:rsid w:val="007D1773"/>
    <w:rsid w:val="007D3096"/>
    <w:rsid w:val="007D4356"/>
    <w:rsid w:val="007D520B"/>
    <w:rsid w:val="007D5225"/>
    <w:rsid w:val="007D6192"/>
    <w:rsid w:val="007D646F"/>
    <w:rsid w:val="007E0035"/>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F29"/>
    <w:rsid w:val="00837133"/>
    <w:rsid w:val="00843099"/>
    <w:rsid w:val="00844A63"/>
    <w:rsid w:val="00845B6B"/>
    <w:rsid w:val="0085555C"/>
    <w:rsid w:val="0085722C"/>
    <w:rsid w:val="00860076"/>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4CD3"/>
    <w:rsid w:val="008F62FB"/>
    <w:rsid w:val="00900B1D"/>
    <w:rsid w:val="00901C67"/>
    <w:rsid w:val="009058DF"/>
    <w:rsid w:val="00910D7C"/>
    <w:rsid w:val="00910E34"/>
    <w:rsid w:val="00911CE5"/>
    <w:rsid w:val="009133CD"/>
    <w:rsid w:val="0091490C"/>
    <w:rsid w:val="009204DB"/>
    <w:rsid w:val="009206E4"/>
    <w:rsid w:val="0092128F"/>
    <w:rsid w:val="00922063"/>
    <w:rsid w:val="009220D3"/>
    <w:rsid w:val="009226F2"/>
    <w:rsid w:val="00926314"/>
    <w:rsid w:val="00930317"/>
    <w:rsid w:val="00933333"/>
    <w:rsid w:val="0093364F"/>
    <w:rsid w:val="00934E57"/>
    <w:rsid w:val="00936A0A"/>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238D"/>
    <w:rsid w:val="00AB305E"/>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7EA4"/>
    <w:rsid w:val="00B2401D"/>
    <w:rsid w:val="00B271E2"/>
    <w:rsid w:val="00B27F1E"/>
    <w:rsid w:val="00B320E0"/>
    <w:rsid w:val="00B32D83"/>
    <w:rsid w:val="00B35A2B"/>
    <w:rsid w:val="00B44C87"/>
    <w:rsid w:val="00B463BE"/>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E0799"/>
    <w:rsid w:val="00BE26D9"/>
    <w:rsid w:val="00BF1119"/>
    <w:rsid w:val="00BF5510"/>
    <w:rsid w:val="00C00C31"/>
    <w:rsid w:val="00C070A2"/>
    <w:rsid w:val="00C10D37"/>
    <w:rsid w:val="00C13A0F"/>
    <w:rsid w:val="00C14C4A"/>
    <w:rsid w:val="00C17E66"/>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C1221"/>
    <w:rsid w:val="00CC4EE7"/>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E69EA"/>
    <w:rsid w:val="00FF0C09"/>
    <w:rsid w:val="00FF1DD7"/>
    <w:rsid w:val="00FF3775"/>
    <w:rsid w:val="01CE5D1C"/>
    <w:rsid w:val="03501741"/>
    <w:rsid w:val="039E595D"/>
    <w:rsid w:val="0585208C"/>
    <w:rsid w:val="06DA78F1"/>
    <w:rsid w:val="070F07F6"/>
    <w:rsid w:val="07C0729F"/>
    <w:rsid w:val="08083403"/>
    <w:rsid w:val="08E73ACB"/>
    <w:rsid w:val="09BE5E2A"/>
    <w:rsid w:val="0A091F73"/>
    <w:rsid w:val="0A8504E9"/>
    <w:rsid w:val="0D92619C"/>
    <w:rsid w:val="0E7A2345"/>
    <w:rsid w:val="0F412CA9"/>
    <w:rsid w:val="0FD566D2"/>
    <w:rsid w:val="100846AA"/>
    <w:rsid w:val="100D0C7D"/>
    <w:rsid w:val="122B2F88"/>
    <w:rsid w:val="12B51E83"/>
    <w:rsid w:val="13B2170D"/>
    <w:rsid w:val="13B97480"/>
    <w:rsid w:val="14034EB5"/>
    <w:rsid w:val="14870494"/>
    <w:rsid w:val="149A5BA6"/>
    <w:rsid w:val="15085E8C"/>
    <w:rsid w:val="15174F60"/>
    <w:rsid w:val="1556095A"/>
    <w:rsid w:val="167D7F24"/>
    <w:rsid w:val="17306AB5"/>
    <w:rsid w:val="17373F64"/>
    <w:rsid w:val="19A054D6"/>
    <w:rsid w:val="1A6F4729"/>
    <w:rsid w:val="1B0717C8"/>
    <w:rsid w:val="1BE33681"/>
    <w:rsid w:val="1CC45B09"/>
    <w:rsid w:val="1FD8330B"/>
    <w:rsid w:val="21862EC6"/>
    <w:rsid w:val="22712DBB"/>
    <w:rsid w:val="237A2B2A"/>
    <w:rsid w:val="26136DDF"/>
    <w:rsid w:val="2AB9490B"/>
    <w:rsid w:val="2C4F36F5"/>
    <w:rsid w:val="2CB9556D"/>
    <w:rsid w:val="2D5F22BD"/>
    <w:rsid w:val="2FF37D11"/>
    <w:rsid w:val="3013049D"/>
    <w:rsid w:val="31C9380E"/>
    <w:rsid w:val="32F16677"/>
    <w:rsid w:val="332C3D99"/>
    <w:rsid w:val="33A41BA5"/>
    <w:rsid w:val="365875C5"/>
    <w:rsid w:val="39356049"/>
    <w:rsid w:val="39FC670E"/>
    <w:rsid w:val="3A7F6C5F"/>
    <w:rsid w:val="3B4E60E4"/>
    <w:rsid w:val="3BFE2074"/>
    <w:rsid w:val="3F8C7277"/>
    <w:rsid w:val="3FA0222F"/>
    <w:rsid w:val="42D769B6"/>
    <w:rsid w:val="42F90047"/>
    <w:rsid w:val="44F600D3"/>
    <w:rsid w:val="45617704"/>
    <w:rsid w:val="486C14B3"/>
    <w:rsid w:val="48B048DB"/>
    <w:rsid w:val="49D97C4F"/>
    <w:rsid w:val="4B8C0594"/>
    <w:rsid w:val="4C0F7B1B"/>
    <w:rsid w:val="4CFE380A"/>
    <w:rsid w:val="4D862B8C"/>
    <w:rsid w:val="4DFF35F5"/>
    <w:rsid w:val="4EF47599"/>
    <w:rsid w:val="4FE3578A"/>
    <w:rsid w:val="50E56895"/>
    <w:rsid w:val="54E94B5B"/>
    <w:rsid w:val="55113EAC"/>
    <w:rsid w:val="55661639"/>
    <w:rsid w:val="55761622"/>
    <w:rsid w:val="5923735A"/>
    <w:rsid w:val="5B0858D9"/>
    <w:rsid w:val="5BD857FA"/>
    <w:rsid w:val="5C080481"/>
    <w:rsid w:val="5E202145"/>
    <w:rsid w:val="5EC82BD5"/>
    <w:rsid w:val="5F621BCD"/>
    <w:rsid w:val="6031647B"/>
    <w:rsid w:val="62EA2F9E"/>
    <w:rsid w:val="62F74A7A"/>
    <w:rsid w:val="644A4FF5"/>
    <w:rsid w:val="668E2223"/>
    <w:rsid w:val="683026D9"/>
    <w:rsid w:val="693F388B"/>
    <w:rsid w:val="6DBA21A1"/>
    <w:rsid w:val="6FD209EE"/>
    <w:rsid w:val="6FE72470"/>
    <w:rsid w:val="709F1DB2"/>
    <w:rsid w:val="73731F46"/>
    <w:rsid w:val="75B84195"/>
    <w:rsid w:val="78AF3D07"/>
    <w:rsid w:val="79A722B9"/>
    <w:rsid w:val="79AB6836"/>
    <w:rsid w:val="7A275005"/>
    <w:rsid w:val="7AF5051C"/>
    <w:rsid w:val="7BBA680A"/>
    <w:rsid w:val="7BD23FA0"/>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BodyText2"/>
    <w:basedOn w:val="1"/>
    <w:qFormat/>
    <w:uiPriority w:val="0"/>
    <w:pPr>
      <w:spacing w:after="120" w:line="480" w:lineRule="auto"/>
      <w:textAlignment w:val="baseline"/>
    </w:pPr>
    <w:rPr>
      <w:sz w:val="32"/>
      <w:szCs w:val="32"/>
    </w:rPr>
  </w:style>
  <w:style w:type="paragraph" w:styleId="3">
    <w:name w:val="Balloon Text"/>
    <w:basedOn w:val="1"/>
    <w:link w:val="36"/>
    <w:semiHidden/>
    <w:unhideWhenUsed/>
    <w:qFormat/>
    <w:uiPriority w:val="0"/>
    <w:rPr>
      <w:sz w:val="18"/>
      <w:szCs w:val="18"/>
    </w:rPr>
  </w:style>
  <w:style w:type="paragraph" w:styleId="4">
    <w:name w:val="footer"/>
    <w:basedOn w:val="1"/>
    <w:link w:val="28"/>
    <w:qFormat/>
    <w:uiPriority w:val="99"/>
    <w:pPr>
      <w:tabs>
        <w:tab w:val="center" w:pos="4153"/>
        <w:tab w:val="right" w:pos="8306"/>
      </w:tabs>
      <w:snapToGrid w:val="0"/>
      <w:jc w:val="left"/>
    </w:pPr>
    <w:rPr>
      <w:sz w:val="18"/>
      <w:szCs w:val="18"/>
    </w:rPr>
  </w:style>
  <w:style w:type="paragraph" w:styleId="5">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rPr>
  </w:style>
  <w:style w:type="table" w:styleId="8">
    <w:name w:val="Table Grid"/>
    <w:basedOn w:val="7"/>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Hyperlink"/>
    <w:basedOn w:val="9"/>
    <w:unhideWhenUsed/>
    <w:qFormat/>
    <w:uiPriority w:val="99"/>
    <w:rPr>
      <w:color w:val="0000FF"/>
      <w:u w:val="single"/>
    </w:rPr>
  </w:style>
  <w:style w:type="paragraph" w:customStyle="1" w:styleId="11">
    <w:name w:val="段"/>
    <w:link w:val="2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2">
    <w:name w:val="正文表标题"/>
    <w:next w:val="11"/>
    <w:qFormat/>
    <w:uiPriority w:val="0"/>
    <w:pPr>
      <w:spacing w:beforeLines="50" w:afterLines="50"/>
      <w:jc w:val="center"/>
    </w:pPr>
    <w:rPr>
      <w:rFonts w:ascii="黑体" w:hAnsi="Times New Roman" w:eastAsia="黑体" w:cs="Times New Roman"/>
      <w:sz w:val="21"/>
      <w:lang w:val="en-US" w:eastAsia="zh-CN" w:bidi="ar-SA"/>
    </w:rPr>
  </w:style>
  <w:style w:type="paragraph" w:customStyle="1" w:styleId="13">
    <w:name w:val="正文图标题"/>
    <w:next w:val="11"/>
    <w:qFormat/>
    <w:uiPriority w:val="0"/>
    <w:pPr>
      <w:numPr>
        <w:ilvl w:val="0"/>
        <w:numId w:val="1"/>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4">
    <w:name w:val="其他发布日期"/>
    <w:basedOn w:val="1"/>
    <w:qFormat/>
    <w:uiPriority w:val="0"/>
    <w:pPr>
      <w:framePr w:w="3997" w:h="471" w:hRule="exact" w:vSpace="181" w:wrap="around" w:vAnchor="page" w:hAnchor="page" w:x="1419" w:y="14097" w:anchorLock="1"/>
      <w:widowControl/>
      <w:numPr>
        <w:ilvl w:val="0"/>
        <w:numId w:val="2"/>
      </w:numPr>
      <w:jc w:val="left"/>
    </w:pPr>
    <w:rPr>
      <w:rFonts w:eastAsia="黑体"/>
      <w:kern w:val="0"/>
      <w:sz w:val="28"/>
      <w:szCs w:val="20"/>
    </w:rPr>
  </w:style>
  <w:style w:type="paragraph" w:customStyle="1" w:styleId="15">
    <w:name w:val="一级条标题"/>
    <w:next w:val="11"/>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16">
    <w:name w:val="章标题"/>
    <w:next w:val="11"/>
    <w:qFormat/>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 w:type="paragraph" w:customStyle="1" w:styleId="17">
    <w:name w:val="二级条标题"/>
    <w:basedOn w:val="15"/>
    <w:next w:val="11"/>
    <w:qFormat/>
    <w:uiPriority w:val="0"/>
    <w:pPr>
      <w:numPr>
        <w:ilvl w:val="2"/>
      </w:numPr>
      <w:spacing w:before="50" w:after="50"/>
      <w:outlineLvl w:val="3"/>
    </w:pPr>
  </w:style>
  <w:style w:type="paragraph" w:customStyle="1" w:styleId="18">
    <w:name w:val="三级条标题"/>
    <w:basedOn w:val="17"/>
    <w:next w:val="11"/>
    <w:qFormat/>
    <w:uiPriority w:val="0"/>
    <w:pPr>
      <w:numPr>
        <w:ilvl w:val="3"/>
      </w:numPr>
      <w:outlineLvl w:val="4"/>
    </w:pPr>
  </w:style>
  <w:style w:type="paragraph" w:customStyle="1" w:styleId="19">
    <w:name w:val="四级条标题"/>
    <w:basedOn w:val="18"/>
    <w:next w:val="11"/>
    <w:qFormat/>
    <w:uiPriority w:val="0"/>
    <w:pPr>
      <w:numPr>
        <w:ilvl w:val="4"/>
      </w:numPr>
      <w:outlineLvl w:val="5"/>
    </w:pPr>
  </w:style>
  <w:style w:type="paragraph" w:customStyle="1" w:styleId="20">
    <w:name w:val="五级条标题"/>
    <w:basedOn w:val="19"/>
    <w:next w:val="11"/>
    <w:qFormat/>
    <w:uiPriority w:val="0"/>
    <w:pPr>
      <w:numPr>
        <w:ilvl w:val="5"/>
      </w:numPr>
      <w:outlineLvl w:val="6"/>
    </w:pPr>
  </w:style>
  <w:style w:type="paragraph" w:customStyle="1" w:styleId="21">
    <w:name w:val="注："/>
    <w:next w:val="11"/>
    <w:qFormat/>
    <w:uiPriority w:val="0"/>
    <w:pPr>
      <w:widowControl w:val="0"/>
      <w:numPr>
        <w:ilvl w:val="0"/>
        <w:numId w:val="4"/>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2">
    <w:name w:val="附录图标号"/>
    <w:basedOn w:val="1"/>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23">
    <w:name w:val="附录图标题"/>
    <w:basedOn w:val="1"/>
    <w:next w:val="11"/>
    <w:qFormat/>
    <w:uiPriority w:val="0"/>
    <w:pPr>
      <w:numPr>
        <w:ilvl w:val="1"/>
        <w:numId w:val="5"/>
      </w:numPr>
      <w:tabs>
        <w:tab w:val="left" w:pos="363"/>
      </w:tabs>
      <w:spacing w:beforeLines="50" w:afterLines="50"/>
      <w:ind w:left="0" w:firstLine="0"/>
      <w:jc w:val="center"/>
    </w:pPr>
    <w:rPr>
      <w:rFonts w:ascii="黑体" w:eastAsia="黑体"/>
      <w:szCs w:val="21"/>
    </w:rPr>
  </w:style>
  <w:style w:type="paragraph" w:customStyle="1" w:styleId="24">
    <w:name w:val="注×：（正文）"/>
    <w:qFormat/>
    <w:uiPriority w:val="0"/>
    <w:pPr>
      <w:numPr>
        <w:ilvl w:val="0"/>
        <w:numId w:val="6"/>
      </w:numPr>
      <w:jc w:val="both"/>
    </w:pPr>
    <w:rPr>
      <w:rFonts w:ascii="宋体" w:hAnsi="Times New Roman" w:eastAsia="宋体" w:cs="Times New Roman"/>
      <w:sz w:val="18"/>
      <w:szCs w:val="18"/>
      <w:lang w:val="en-US" w:eastAsia="zh-CN" w:bidi="ar-SA"/>
    </w:rPr>
  </w:style>
  <w:style w:type="paragraph" w:customStyle="1" w:styleId="25">
    <w:name w:val="图表脚注说明"/>
    <w:basedOn w:val="1"/>
    <w:qFormat/>
    <w:uiPriority w:val="0"/>
    <w:pPr>
      <w:numPr>
        <w:ilvl w:val="0"/>
        <w:numId w:val="7"/>
      </w:numPr>
    </w:pPr>
    <w:rPr>
      <w:rFonts w:ascii="宋体"/>
      <w:sz w:val="18"/>
      <w:szCs w:val="18"/>
    </w:rPr>
  </w:style>
  <w:style w:type="character" w:customStyle="1" w:styleId="26">
    <w:name w:val="段 Char"/>
    <w:basedOn w:val="9"/>
    <w:link w:val="11"/>
    <w:qFormat/>
    <w:uiPriority w:val="0"/>
    <w:rPr>
      <w:rFonts w:ascii="宋体"/>
      <w:sz w:val="21"/>
      <w:lang w:val="en-US" w:eastAsia="zh-CN" w:bidi="ar-SA"/>
    </w:rPr>
  </w:style>
  <w:style w:type="character" w:customStyle="1" w:styleId="27">
    <w:name w:val="页眉 字符"/>
    <w:basedOn w:val="9"/>
    <w:link w:val="5"/>
    <w:qFormat/>
    <w:uiPriority w:val="0"/>
    <w:rPr>
      <w:kern w:val="2"/>
      <w:sz w:val="18"/>
      <w:szCs w:val="18"/>
    </w:rPr>
  </w:style>
  <w:style w:type="character" w:customStyle="1" w:styleId="28">
    <w:name w:val="页脚 字符"/>
    <w:basedOn w:val="9"/>
    <w:link w:val="4"/>
    <w:qFormat/>
    <w:uiPriority w:val="99"/>
    <w:rPr>
      <w:kern w:val="2"/>
      <w:sz w:val="18"/>
      <w:szCs w:val="18"/>
    </w:rPr>
  </w:style>
  <w:style w:type="paragraph" w:customStyle="1" w:styleId="29">
    <w:name w:val="附录表标题"/>
    <w:basedOn w:val="1"/>
    <w:next w:val="11"/>
    <w:qFormat/>
    <w:uiPriority w:val="0"/>
    <w:pPr>
      <w:numPr>
        <w:ilvl w:val="1"/>
        <w:numId w:val="8"/>
      </w:numPr>
      <w:tabs>
        <w:tab w:val="left" w:pos="180"/>
      </w:tabs>
      <w:spacing w:beforeLines="50" w:afterLines="50"/>
      <w:ind w:left="0" w:firstLine="0"/>
      <w:jc w:val="center"/>
    </w:pPr>
    <w:rPr>
      <w:rFonts w:ascii="黑体" w:eastAsia="黑体"/>
      <w:szCs w:val="21"/>
    </w:rPr>
  </w:style>
  <w:style w:type="paragraph" w:styleId="30">
    <w:name w:val="List Paragraph"/>
    <w:basedOn w:val="1"/>
    <w:unhideWhenUsed/>
    <w:qFormat/>
    <w:uiPriority w:val="34"/>
    <w:pPr>
      <w:ind w:firstLine="420" w:firstLineChars="200"/>
    </w:pPr>
  </w:style>
  <w:style w:type="paragraph" w:customStyle="1" w:styleId="3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33">
    <w:name w:val="发布"/>
    <w:qFormat/>
    <w:uiPriority w:val="0"/>
    <w:rPr>
      <w:rFonts w:ascii="黑体" w:eastAsia="黑体"/>
      <w:spacing w:val="22"/>
      <w:w w:val="100"/>
      <w:position w:val="3"/>
      <w:sz w:val="28"/>
    </w:rPr>
  </w:style>
  <w:style w:type="paragraph" w:customStyle="1" w:styleId="34">
    <w:name w:val="其他发布部门"/>
    <w:basedOn w:val="1"/>
    <w:qFormat/>
    <w:uiPriority w:val="0"/>
    <w:pPr>
      <w:widowControl/>
      <w:spacing w:line="0" w:lineRule="atLeast"/>
      <w:jc w:val="center"/>
    </w:pPr>
    <w:rPr>
      <w:rFonts w:ascii="黑体" w:eastAsia="黑体"/>
      <w:spacing w:val="20"/>
      <w:w w:val="135"/>
      <w:kern w:val="0"/>
      <w:sz w:val="36"/>
      <w:szCs w:val="20"/>
    </w:rPr>
  </w:style>
  <w:style w:type="paragraph" w:customStyle="1" w:styleId="3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6">
    <w:name w:val="批注框文本 字符"/>
    <w:basedOn w:val="9"/>
    <w:link w:val="3"/>
    <w:semiHidden/>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4CCB1-A834-4810-BF19-B84E84C374CC}">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15</Pages>
  <Words>6543</Words>
  <Characters>8082</Characters>
  <Lines>32</Lines>
  <Paragraphs>9</Paragraphs>
  <TotalTime>0</TotalTime>
  <ScaleCrop>false</ScaleCrop>
  <LinksUpToDate>false</LinksUpToDate>
  <CharactersWithSpaces>8193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2023-08-14T06:51:00Z</dcterms:created>
  <dc:creator>USER</dc:creator>
  <cp:lastModifiedBy>冯流莹</cp:lastModifiedBy>
  <cp:lastPrinted>2019-07-10T11:21:00Z</cp:lastPrinted>
  <dcterms:modified xsi:type="dcterms:W3CDTF">2025-11-30T09:47:04Z</dcterms:modified>
  <dc:title>广西地方标准《脱氢枞酸》（征求意见稿）</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484DF7F1BEB842158BCD0584349217B5</vt:lpwstr>
  </property>
  <property fmtid="{D5CDD505-2E9C-101B-9397-08002B2CF9AE}" pid="4" name="KSOTemplateDocerSaveRecord">
    <vt:lpwstr>eyJoZGlkIjoiOGFkZjVhNDJiMGExNWUxMjVmMmMwZDU4OWJmZWEzNzAiLCJ1c2VySWQiOiIyNDQ0MTQwMzQifQ==</vt:lpwstr>
  </property>
</Properties>
</file>